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10E" w:rsidRPr="009C510E" w:rsidRDefault="009C510E" w:rsidP="00CE1DC8">
      <w:pPr>
        <w:pStyle w:val="NormalWeb"/>
        <w:spacing w:before="0" w:beforeAutospacing="0" w:after="0" w:afterAutospacing="0" w:line="420" w:lineRule="atLeast"/>
        <w:rPr>
          <w:rStyle w:val="Strong"/>
          <w:rFonts w:ascii="Arial" w:eastAsiaTheme="majorEastAsia" w:hAnsi="Arial" w:cs="Arial"/>
          <w:color w:val="1B1C1D"/>
          <w:sz w:val="32"/>
          <w:szCs w:val="32"/>
          <w:bdr w:val="none" w:sz="0" w:space="0" w:color="auto" w:frame="1"/>
        </w:rPr>
      </w:pPr>
      <w:r w:rsidRPr="009C510E">
        <w:rPr>
          <w:b/>
          <w:color w:val="000000"/>
          <w:sz w:val="32"/>
          <w:szCs w:val="32"/>
        </w:rPr>
        <w:t>Banking &amp; Insurance  / B.Com Honours/ Batch : 2024-25/Semester : II</w:t>
      </w:r>
    </w:p>
    <w:p w:rsidR="009C510E" w:rsidRDefault="009C510E" w:rsidP="009C51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10E" w:rsidRDefault="009C510E" w:rsidP="009879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– A (10 X 2 = 20 Marks) Answer Any 10 Questions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What is a scheduled bank?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bank included in the Second Schedule of the Reserve Bank of India Act, 1934.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What is a foreign bank?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bank headquartered outside India but operating within India.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Define Crossing.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Drawing two parallel lines across a cheque, indicating it should be deposited into a bank account.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Who is a collecting banker?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bank that collects payments on behalf of its customers.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Who is Ombudsman?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An official appointed to investigate and resolve complaints against financial institutions.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What is SWIFT?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Society for Worldwide Interbank Financial Telecommunication, facilitating secure international financial messaging.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Write short notes on ‘Term Assurance’.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Life insurance providing coverage for a specific period, paying a lump sum upon death within the term.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What is Annuity?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financial product that pays a stream of income over a specified period.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Write two objectives of IRDA.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Protect the interests of policyholders and regulate, promote, and ensure the orderly growth of the insurance sector.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Define Insurance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financial agreement where one party (insurer) agrees to compensate another (insured) for specified losses.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What is Insurable Interest?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financial stake in something that would be harmed by a specific event.</w:t>
      </w:r>
    </w:p>
    <w:p w:rsidR="0098791C" w:rsidRDefault="00CE1DC8" w:rsidP="00881669">
      <w:pPr>
        <w:pStyle w:val="NormalWeb"/>
        <w:numPr>
          <w:ilvl w:val="0"/>
          <w:numId w:val="3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Define a negotiable instrument?</w:t>
      </w:r>
      <w:r>
        <w:rPr>
          <w:rFonts w:ascii="Arial" w:hAnsi="Arial" w:cs="Arial"/>
          <w:color w:val="1B1C1D"/>
        </w:rPr>
        <w:t xml:space="preserve"> </w:t>
      </w:r>
    </w:p>
    <w:p w:rsidR="00CE1DC8" w:rsidRDefault="00CE1DC8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A written document transferable by endorsement or delivery, used as a substitute for money.</w:t>
      </w:r>
    </w:p>
    <w:p w:rsidR="00881669" w:rsidRDefault="00881669" w:rsidP="009C5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10E" w:rsidRDefault="009C510E" w:rsidP="009C5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SECTION – B (5 X 5 = 25 Marks) Answer any Five Questions</w:t>
      </w:r>
    </w:p>
    <w:p w:rsidR="0004157E" w:rsidRDefault="0004157E" w:rsidP="009444BF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Examine the role of RBI in maintaining monetary and financial stability in India.</w:t>
      </w:r>
      <w:r>
        <w:rPr>
          <w:rFonts w:ascii="Arial" w:hAnsi="Arial" w:cs="Arial"/>
          <w:color w:val="1B1C1D"/>
        </w:rPr>
        <w:t xml:space="preserve"> RBI's functions: monetary policy (repo rate, CRR, etc.), regulation of banks, currency management, forex management, and its role as lender of last resort. </w:t>
      </w:r>
      <w:r w:rsidR="0098791C">
        <w:rPr>
          <w:rFonts w:ascii="Arial" w:hAnsi="Arial" w:cs="Arial"/>
          <w:color w:val="1B1C1D"/>
        </w:rPr>
        <w:t>H</w:t>
      </w:r>
      <w:r>
        <w:rPr>
          <w:rFonts w:ascii="Arial" w:hAnsi="Arial" w:cs="Arial"/>
          <w:color w:val="1B1C1D"/>
        </w:rPr>
        <w:t>ow these tools are used to control inflation, ensure credit availability, and maintain stability in the financial system.</w:t>
      </w:r>
    </w:p>
    <w:p w:rsidR="0004157E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Explain the legal implications of material alteration of a negotiable instrument.</w:t>
      </w:r>
      <w:r>
        <w:rPr>
          <w:rFonts w:ascii="Arial" w:hAnsi="Arial" w:cs="Arial"/>
          <w:color w:val="1B1C1D"/>
        </w:rPr>
        <w:t xml:space="preserve">  "material alteration" (e.g., changing date, amount, payee).</w:t>
      </w:r>
      <w:r w:rsidR="0098791C">
        <w:rPr>
          <w:rFonts w:ascii="Arial" w:hAnsi="Arial" w:cs="Arial"/>
          <w:color w:val="1B1C1D"/>
        </w:rPr>
        <w:t xml:space="preserve"> </w:t>
      </w:r>
      <w:r>
        <w:rPr>
          <w:rFonts w:ascii="Arial" w:hAnsi="Arial" w:cs="Arial"/>
          <w:color w:val="1B1C1D"/>
        </w:rPr>
        <w:t>the legal consequences: discharge of the instrument against the acceptor (if altered by the holder), liability of the person making the alteration, and the rights of a holder in due course. Cite relevant sections of the Negotiable Instruments Act.</w:t>
      </w:r>
    </w:p>
    <w:p w:rsidR="0098791C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List out the rights and duties of a paying banker.</w:t>
      </w:r>
      <w:r>
        <w:rPr>
          <w:rFonts w:ascii="Arial" w:hAnsi="Arial" w:cs="Arial"/>
          <w:color w:val="1B1C1D"/>
        </w:rPr>
        <w:t xml:space="preserve"> </w:t>
      </w: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Rights:</w:t>
      </w:r>
      <w:r>
        <w:rPr>
          <w:rFonts w:ascii="Arial" w:hAnsi="Arial" w:cs="Arial"/>
          <w:color w:val="1B1C1D"/>
        </w:rPr>
        <w:t xml:space="preserve"> </w:t>
      </w:r>
    </w:p>
    <w:p w:rsidR="0004157E" w:rsidRDefault="0004157E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 xml:space="preserve">Right to debit customer's account, right to receive proper mandate, right to claim indemnity. </w:t>
      </w: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Duties:</w:t>
      </w:r>
      <w:r>
        <w:rPr>
          <w:rFonts w:ascii="Arial" w:hAnsi="Arial" w:cs="Arial"/>
          <w:color w:val="1B1C1D"/>
        </w:rPr>
        <w:t xml:space="preserve"> Duty to </w:t>
      </w:r>
      <w:proofErr w:type="spellStart"/>
      <w:r>
        <w:rPr>
          <w:rFonts w:ascii="Arial" w:hAnsi="Arial" w:cs="Arial"/>
          <w:color w:val="1B1C1D"/>
        </w:rPr>
        <w:t>honor</w:t>
      </w:r>
      <w:proofErr w:type="spellEnd"/>
      <w:r>
        <w:rPr>
          <w:rFonts w:ascii="Arial" w:hAnsi="Arial" w:cs="Arial"/>
          <w:color w:val="1B1C1D"/>
        </w:rPr>
        <w:t xml:space="preserve"> cheques, duty to exercise reasonable care, duty to maintain secrecy, duty to act in good faith.</w:t>
      </w:r>
    </w:p>
    <w:p w:rsidR="0004157E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Explain how core banking solutions have revolutionized banking operations.</w:t>
      </w:r>
      <w:r>
        <w:rPr>
          <w:rFonts w:ascii="Arial" w:hAnsi="Arial" w:cs="Arial"/>
          <w:color w:val="1B1C1D"/>
        </w:rPr>
        <w:t xml:space="preserve"> features of CBS: centralized database, 24/7 availability, anywhere banking, reduced transaction time, improved customer service, better MIS, new product offerings, and enhanced security. Expla</w:t>
      </w:r>
      <w:r w:rsidR="0098791C">
        <w:rPr>
          <w:rFonts w:ascii="Arial" w:hAnsi="Arial" w:cs="Arial"/>
          <w:color w:val="1B1C1D"/>
        </w:rPr>
        <w:t>nation-</w:t>
      </w:r>
      <w:r>
        <w:rPr>
          <w:rFonts w:ascii="Arial" w:hAnsi="Arial" w:cs="Arial"/>
          <w:color w:val="1B1C1D"/>
        </w:rPr>
        <w:t xml:space="preserve"> how these features have transformed traditional banking.</w:t>
      </w:r>
    </w:p>
    <w:p w:rsidR="0098791C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Illustrate the benefits and features of group insurance and health insurance.</w:t>
      </w:r>
      <w:r>
        <w:rPr>
          <w:rFonts w:ascii="Arial" w:hAnsi="Arial" w:cs="Arial"/>
          <w:color w:val="1B1C1D"/>
        </w:rPr>
        <w:t xml:space="preserve"> </w:t>
      </w: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Group Insurance:</w:t>
      </w:r>
      <w:r>
        <w:rPr>
          <w:rFonts w:ascii="Arial" w:hAnsi="Arial" w:cs="Arial"/>
          <w:color w:val="1B1C1D"/>
        </w:rPr>
        <w:t xml:space="preserve"> </w:t>
      </w:r>
    </w:p>
    <w:p w:rsidR="0004157E" w:rsidRDefault="0004157E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 xml:space="preserve">Coverage for a group (employees), lower premiums, simplified underwriting, death benefit. </w:t>
      </w: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Health Insurance:</w:t>
      </w:r>
      <w:r>
        <w:rPr>
          <w:rFonts w:ascii="Arial" w:hAnsi="Arial" w:cs="Arial"/>
          <w:color w:val="1B1C1D"/>
        </w:rPr>
        <w:t xml:space="preserve"> Coverage for medical expenses, cashless facility, reimbursement of expenses, tax benefits. Compare the two, highlighting their respective advantages.</w:t>
      </w:r>
    </w:p>
    <w:p w:rsidR="0098791C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Identify the role of insurance intermediaries in the Indian insurance market.</w:t>
      </w:r>
      <w:r>
        <w:rPr>
          <w:rFonts w:ascii="Arial" w:hAnsi="Arial" w:cs="Arial"/>
          <w:color w:val="1B1C1D"/>
        </w:rPr>
        <w:t xml:space="preserve"> </w:t>
      </w:r>
    </w:p>
    <w:p w:rsidR="0004157E" w:rsidRDefault="0004157E" w:rsidP="0098791C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 xml:space="preserve">the functions of agents, brokers, and corporate agents: selling policies, providing advice, assisting with claims, bridging the gap between insurers and insured, and increasing insurance penetration. </w:t>
      </w:r>
      <w:r w:rsidR="0098791C">
        <w:rPr>
          <w:rFonts w:ascii="Arial" w:hAnsi="Arial" w:cs="Arial"/>
          <w:color w:val="1B1C1D"/>
        </w:rPr>
        <w:t>-</w:t>
      </w:r>
      <w:r>
        <w:rPr>
          <w:rFonts w:ascii="Arial" w:hAnsi="Arial" w:cs="Arial"/>
          <w:color w:val="1B1C1D"/>
        </w:rPr>
        <w:t xml:space="preserve"> regulatory framework governing them.</w:t>
      </w:r>
    </w:p>
    <w:p w:rsidR="00250068" w:rsidRDefault="0004157E" w:rsidP="0098791C">
      <w:pPr>
        <w:pStyle w:val="NormalWeb"/>
        <w:numPr>
          <w:ilvl w:val="0"/>
          <w:numId w:val="4"/>
        </w:numPr>
        <w:spacing w:before="0" w:beforeAutospacing="0" w:after="0" w:afterAutospacing="0" w:line="420" w:lineRule="atLeast"/>
        <w:rPr>
          <w:rFonts w:ascii="Arial" w:hAnsi="Arial" w:cs="Arial"/>
          <w:color w:val="1B1C1D"/>
        </w:rPr>
      </w:pPr>
      <w:r>
        <w:rPr>
          <w:rStyle w:val="Strong"/>
          <w:rFonts w:ascii="Arial" w:eastAsiaTheme="majorEastAsia" w:hAnsi="Arial" w:cs="Arial"/>
          <w:color w:val="1B1C1D"/>
          <w:bdr w:val="none" w:sz="0" w:space="0" w:color="auto" w:frame="1"/>
        </w:rPr>
        <w:t>Compare and contrast the different types of general insurance.</w:t>
      </w:r>
      <w:r>
        <w:rPr>
          <w:rFonts w:ascii="Arial" w:hAnsi="Arial" w:cs="Arial"/>
          <w:color w:val="1B1C1D"/>
        </w:rPr>
        <w:t xml:space="preserve"> </w:t>
      </w:r>
    </w:p>
    <w:p w:rsidR="0004157E" w:rsidRDefault="0004157E" w:rsidP="00250068">
      <w:pPr>
        <w:pStyle w:val="NormalWeb"/>
        <w:spacing w:before="0" w:beforeAutospacing="0" w:after="0" w:afterAutospacing="0" w:line="420" w:lineRule="atLeast"/>
        <w:ind w:left="36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</w:rPr>
        <w:t>various types like motor insurance (third-party, comprehensive), fire insurance, marine insurance, health insurance, travel insurance, and home insurance. Compar</w:t>
      </w:r>
      <w:r w:rsidR="00250068">
        <w:rPr>
          <w:rFonts w:ascii="Arial" w:hAnsi="Arial" w:cs="Arial"/>
          <w:color w:val="1B1C1D"/>
        </w:rPr>
        <w:t xml:space="preserve">ison </w:t>
      </w:r>
      <w:r>
        <w:rPr>
          <w:rFonts w:ascii="Arial" w:hAnsi="Arial" w:cs="Arial"/>
          <w:color w:val="1B1C1D"/>
        </w:rPr>
        <w:t>based on coverage, premium, exclusions, claim process, and the risks they cover.</w:t>
      </w:r>
    </w:p>
    <w:p w:rsidR="0004157E" w:rsidRDefault="0004157E"/>
    <w:p w:rsidR="009C510E" w:rsidRDefault="009C510E" w:rsidP="009C51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– C (3 X 10 = 30 Marks) Answer any Three Questions</w:t>
      </w:r>
    </w:p>
    <w:p w:rsidR="0004157E" w:rsidRDefault="0004157E"/>
    <w:p w:rsidR="00250068" w:rsidRDefault="0004157E" w:rsidP="009444B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Explain the multifaceted role of banks in fostering economic development, citing specific examples of how they contribute to growth.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</w:t>
      </w:r>
    </w:p>
    <w:p w:rsidR="0004157E" w:rsidRPr="0004157E" w:rsidRDefault="0004157E" w:rsidP="00250068">
      <w:pPr>
        <w:spacing w:after="0" w:line="420" w:lineRule="atLeast"/>
        <w:ind w:left="360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>banks' roles in: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Capital Formation: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Mobilizing savings (deposits) and </w:t>
      </w:r>
      <w:proofErr w:type="spellStart"/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>channeling</w:t>
      </w:r>
      <w:proofErr w:type="spellEnd"/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them into productive investments (loans). Example: Banks financing infrastructure projects.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Credit Creation: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Expanding the money supply through lending. Example: Banks providing working capital to businesses.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Payment System: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Facilitating transactions and trade. Example: Online banking and mobile payments.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Financial Intermediation: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Connecting savers and borrowers. Example: Banks offering various loan products.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Promoting Entrepreneurship: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Providing loans and financial advice to startups and small businesses. Example: MUDRA loans.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Regional Development: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Expanding banking services in underserved areas. Example: Opening rural branches.</w:t>
      </w:r>
    </w:p>
    <w:p w:rsidR="0004157E" w:rsidRPr="0004157E" w:rsidRDefault="0004157E" w:rsidP="009444B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Discuss the essential features of a negotiable instrument, and explain the processes of crossing and endorsement with relevant examples.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</w:t>
      </w: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Essential Features: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In writing, freely transferable, certain sum of money, unconditional order or promise to pay, signature of the drawer.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Crossing: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Two parallel lines across a cheque. Types: General (payable to any bank), Special (payable to a specific bank). Example: "A/c Payee Only" crossing.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Endorsement: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Signing on the back of the instrument to transfer ownership. Types: Blank, Special, Conditional. Example: "Pay to B" followed by A's signature.</w:t>
      </w:r>
    </w:p>
    <w:p w:rsidR="0004157E" w:rsidRPr="0004157E" w:rsidRDefault="0004157E" w:rsidP="009444B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Differentiate between Electronic Clearing Systems (ECS), SWIFT, RTGS, and NEFT.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ECS: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Bulk transfer of funds for recurring payments (salaries, pensions).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SWIFT: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Secure messaging system for international interbank transactions.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RTGS: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Real-time gross settlement for large-value transactions.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NEFT: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National Electronic Funds Transfer for smaller value transactions, settled in batches. Compare based on speed, transaction size, purpose, and reach.</w:t>
      </w:r>
    </w:p>
    <w:p w:rsidR="0004157E" w:rsidRPr="0004157E" w:rsidRDefault="0004157E" w:rsidP="009444B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Discuss the fundamental principles of insurance. Explain how these principles underpin the functioning of insurance contracts.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lastRenderedPageBreak/>
        <w:t>Insurable Interest: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Financial stake in the subject matter.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Utmost Good Faith: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Honest disclosure of all material facts.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Indemnity: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Restoring the insured to the same financial position before the loss.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Subrogation: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Insurer's right to recover losses from a third party responsible.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Contribution: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Sharing of loss among multiple insurers.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Proximate Cause: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Loss must be directly caused by the insured peril. Explain how these principles ensure fairness and prevent fraud in insurance contracts.</w:t>
      </w:r>
    </w:p>
    <w:p w:rsidR="0004157E" w:rsidRPr="0004157E" w:rsidRDefault="0004157E" w:rsidP="009444BF">
      <w:pPr>
        <w:numPr>
          <w:ilvl w:val="0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Describe the various strategies employed in the marketing of insurance services in India.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Agent Network: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Traditional channel, leveraging personal relationships.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Bancassurance: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Selling insurance through bank branches.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Online Channels: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Websites, aggregators, digital marketing.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Direct Marketing: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Mailers, telemarketing.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Corporate Agents: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Tie-ups with other businesses.</w:t>
      </w:r>
    </w:p>
    <w:p w:rsidR="0004157E" w:rsidRP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Brokers: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Independent intermediaries offering a range of products.</w:t>
      </w:r>
    </w:p>
    <w:p w:rsidR="0004157E" w:rsidRDefault="0004157E" w:rsidP="009444BF">
      <w:pPr>
        <w:numPr>
          <w:ilvl w:val="1"/>
          <w:numId w:val="6"/>
        </w:numPr>
        <w:spacing w:after="0" w:line="420" w:lineRule="atLeast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 w:rsidRPr="0004157E">
        <w:rPr>
          <w:rFonts w:ascii="Arial" w:eastAsia="Times New Roman" w:hAnsi="Arial" w:cs="Arial"/>
          <w:b/>
          <w:bCs/>
          <w:color w:val="1B1C1D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Public Awareness Campaigns:</w:t>
      </w:r>
      <w:r w:rsidRPr="0004157E"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 xml:space="preserve"> Promoting insurance awareness. Discuss the strengths and weaknesses of each strategy.</w:t>
      </w:r>
    </w:p>
    <w:p w:rsidR="00250068" w:rsidRPr="0004157E" w:rsidRDefault="00250068" w:rsidP="00250068">
      <w:pPr>
        <w:spacing w:after="0" w:line="420" w:lineRule="atLeast"/>
        <w:jc w:val="center"/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</w:pPr>
      <w:r>
        <w:rPr>
          <w:rFonts w:ascii="Arial" w:eastAsia="Times New Roman" w:hAnsi="Arial" w:cs="Arial"/>
          <w:color w:val="1B1C1D"/>
          <w:kern w:val="0"/>
          <w:sz w:val="24"/>
          <w:szCs w:val="24"/>
          <w:lang w:eastAsia="en-IN"/>
          <w14:ligatures w14:val="none"/>
        </w:rPr>
        <w:t>------------------</w:t>
      </w:r>
    </w:p>
    <w:p w:rsidR="0004157E" w:rsidRDefault="0004157E"/>
    <w:p w:rsidR="0004157E" w:rsidRDefault="0004157E"/>
    <w:sectPr w:rsidR="0004157E" w:rsidSect="00785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0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9EC" w:rsidRDefault="002579EC" w:rsidP="00EE07BF">
      <w:pPr>
        <w:spacing w:after="0" w:line="240" w:lineRule="auto"/>
      </w:pPr>
      <w:r>
        <w:separator/>
      </w:r>
    </w:p>
  </w:endnote>
  <w:endnote w:type="continuationSeparator" w:id="0">
    <w:p w:rsidR="002579EC" w:rsidRDefault="002579EC" w:rsidP="00EE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7BF" w:rsidRDefault="00EE0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859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7BF" w:rsidRDefault="00EE07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7BF" w:rsidRDefault="00EE07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7BF" w:rsidRDefault="00EE0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9EC" w:rsidRDefault="002579EC" w:rsidP="00EE07BF">
      <w:pPr>
        <w:spacing w:after="0" w:line="240" w:lineRule="auto"/>
      </w:pPr>
      <w:r>
        <w:separator/>
      </w:r>
    </w:p>
  </w:footnote>
  <w:footnote w:type="continuationSeparator" w:id="0">
    <w:p w:rsidR="002579EC" w:rsidRDefault="002579EC" w:rsidP="00EE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7BF" w:rsidRDefault="00EE0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7BF" w:rsidRDefault="00EE0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7BF" w:rsidRDefault="00EE0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70B49"/>
    <w:multiLevelType w:val="hybridMultilevel"/>
    <w:tmpl w:val="562C40E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90556"/>
    <w:multiLevelType w:val="multilevel"/>
    <w:tmpl w:val="B8BC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4E86"/>
    <w:multiLevelType w:val="multilevel"/>
    <w:tmpl w:val="A1C462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D2443D"/>
    <w:multiLevelType w:val="hybridMultilevel"/>
    <w:tmpl w:val="1C88DC7C"/>
    <w:lvl w:ilvl="0" w:tplc="34FC1E06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80CE8"/>
    <w:multiLevelType w:val="multilevel"/>
    <w:tmpl w:val="A81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35B0D"/>
    <w:multiLevelType w:val="hybridMultilevel"/>
    <w:tmpl w:val="9828D21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067899">
    <w:abstractNumId w:val="1"/>
  </w:num>
  <w:num w:numId="2" w16cid:durableId="32853194">
    <w:abstractNumId w:val="4"/>
  </w:num>
  <w:num w:numId="3" w16cid:durableId="1150559136">
    <w:abstractNumId w:val="5"/>
  </w:num>
  <w:num w:numId="4" w16cid:durableId="578057547">
    <w:abstractNumId w:val="2"/>
  </w:num>
  <w:num w:numId="5" w16cid:durableId="1249538653">
    <w:abstractNumId w:val="0"/>
  </w:num>
  <w:num w:numId="6" w16cid:durableId="12170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C8"/>
    <w:rsid w:val="0004157E"/>
    <w:rsid w:val="00240D59"/>
    <w:rsid w:val="00250068"/>
    <w:rsid w:val="002579EC"/>
    <w:rsid w:val="00682CE4"/>
    <w:rsid w:val="00757692"/>
    <w:rsid w:val="00785676"/>
    <w:rsid w:val="00881669"/>
    <w:rsid w:val="008C0FCB"/>
    <w:rsid w:val="009444BF"/>
    <w:rsid w:val="0098791C"/>
    <w:rsid w:val="009C510E"/>
    <w:rsid w:val="00B57F2F"/>
    <w:rsid w:val="00C53A42"/>
    <w:rsid w:val="00CE1DC8"/>
    <w:rsid w:val="00E565A2"/>
    <w:rsid w:val="00E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4C394-DCBE-499E-BD19-93A7827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D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D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D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D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DC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CE1DC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BF"/>
  </w:style>
  <w:style w:type="paragraph" w:styleId="Footer">
    <w:name w:val="footer"/>
    <w:basedOn w:val="Normal"/>
    <w:link w:val="FooterChar"/>
    <w:uiPriority w:val="99"/>
    <w:unhideWhenUsed/>
    <w:rsid w:val="00EE0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 sharma</dc:creator>
  <cp:keywords/>
  <dc:description/>
  <cp:lastModifiedBy>HD sharma</cp:lastModifiedBy>
  <cp:revision>8</cp:revision>
  <dcterms:created xsi:type="dcterms:W3CDTF">2025-02-19T17:13:00Z</dcterms:created>
  <dcterms:modified xsi:type="dcterms:W3CDTF">2025-02-19T17:45:00Z</dcterms:modified>
</cp:coreProperties>
</file>