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A02" w:rsidRDefault="001A7F9F">
      <w:pPr>
        <w:spacing w:after="0" w:line="240" w:lineRule="auto"/>
        <w:jc w:val="center"/>
        <w:rPr>
          <w:rFonts w:ascii="Times New Roman" w:eastAsia="Times New Roman" w:hAnsi="Times New Roman" w:cs="Times New Roman"/>
          <w:b/>
          <w:bCs/>
        </w:rPr>
      </w:pPr>
      <w:bookmarkStart w:id="0" w:name="_heading=h.guq7uq2khxp" w:colFirst="0" w:colLast="0"/>
      <w:bookmarkEnd w:id="0"/>
      <w:r>
        <w:rPr>
          <w:rFonts w:ascii="Times New Roman" w:eastAsia="Times New Roman" w:hAnsi="Times New Roman" w:cs="Times New Roman"/>
          <w:b/>
          <w:bCs/>
        </w:rPr>
        <w:t xml:space="preserve">ANNA ADARSH COLLEGE FOR WOMEN (AUTONOMOUS), </w:t>
      </w:r>
    </w:p>
    <w:p w:rsidR="00D80A02" w:rsidRDefault="001A7F9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CHENNAI – 40</w:t>
      </w:r>
    </w:p>
    <w:p w:rsidR="00D80A02" w:rsidRDefault="001A7F9F">
      <w:pPr>
        <w:tabs>
          <w:tab w:val="left" w:pos="360"/>
          <w:tab w:val="center" w:pos="4513"/>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END SEMESTER EXAMINATION– MARCH/APRIL 2026</w:t>
      </w:r>
    </w:p>
    <w:p w:rsidR="00D80A02" w:rsidRDefault="001A7F9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Subject Name: Business Regulatory Framework</w:t>
      </w:r>
    </w:p>
    <w:p w:rsidR="00D80A02" w:rsidRDefault="001A7F9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Subject Code: 24UBBAD308</w:t>
      </w:r>
    </w:p>
    <w:p w:rsidR="00D80A02" w:rsidRDefault="001A7F9F">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Max. Marks: </w:t>
      </w:r>
      <w:proofErr w:type="gramStart"/>
      <w:r>
        <w:rPr>
          <w:rFonts w:ascii="Times New Roman" w:eastAsia="Times New Roman" w:hAnsi="Times New Roman" w:cs="Times New Roman"/>
          <w:b/>
          <w:bCs/>
        </w:rPr>
        <w:t xml:space="preserve">75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TIME</w:t>
      </w:r>
      <w:proofErr w:type="gramEnd"/>
      <w:r>
        <w:rPr>
          <w:rFonts w:ascii="Times New Roman" w:eastAsia="Times New Roman" w:hAnsi="Times New Roman" w:cs="Times New Roman"/>
          <w:b/>
          <w:bCs/>
        </w:rPr>
        <w:t>: 3 Hrs.</w:t>
      </w:r>
    </w:p>
    <w:p w:rsidR="00D80A02" w:rsidRDefault="001A7F9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ANSWER KEY</w:t>
      </w:r>
    </w:p>
    <w:p w:rsidR="00D80A02" w:rsidRDefault="001A7F9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PART- A (10 × 2 = 20 Marks)</w:t>
      </w:r>
    </w:p>
    <w:p w:rsidR="00D80A02" w:rsidRDefault="001A7F9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Answer any TEN questions.</w:t>
      </w:r>
    </w:p>
    <w:p w:rsidR="00D80A02" w:rsidRDefault="001A7F9F">
      <w:pPr>
        <w:numPr>
          <w:ilvl w:val="0"/>
          <w:numId w:val="2"/>
        </w:numPr>
        <w:pBdr>
          <w:top w:val="nil"/>
          <w:left w:val="nil"/>
          <w:bottom w:val="nil"/>
          <w:right w:val="nil"/>
          <w:between w:val="nil"/>
        </w:pBdr>
        <w:spacing w:before="280" w:after="0" w:line="240" w:lineRule="auto"/>
        <w:jc w:val="both"/>
        <w:rPr>
          <w:color w:val="000000"/>
        </w:rPr>
      </w:pPr>
      <w:r>
        <w:rPr>
          <w:rFonts w:ascii="Times New Roman" w:eastAsia="Times New Roman" w:hAnsi="Times New Roman" w:cs="Times New Roman"/>
          <w:color w:val="000000"/>
        </w:rPr>
        <w:t>According to Section 2(e) of the Indian Contract Act, 1872, an agreement is "every promise and every set of promises, forming the consideration for each other".</w:t>
      </w:r>
    </w:p>
    <w:p w:rsidR="00D80A02" w:rsidRDefault="001A7F9F">
      <w:pPr>
        <w:numPr>
          <w:ilvl w:val="0"/>
          <w:numId w:val="2"/>
        </w:numPr>
        <w:spacing w:after="0" w:line="240" w:lineRule="auto"/>
        <w:jc w:val="both"/>
      </w:pPr>
      <w:r>
        <w:rPr>
          <w:rFonts w:ascii="Times New Roman" w:eastAsia="Times New Roman" w:hAnsi="Times New Roman" w:cs="Times New Roman"/>
        </w:rPr>
        <w:t>It means "meeting</w:t>
      </w:r>
      <w:r>
        <w:rPr>
          <w:rFonts w:ascii="Times New Roman" w:eastAsia="Times New Roman" w:hAnsi="Times New Roman" w:cs="Times New Roman"/>
        </w:rPr>
        <w:t xml:space="preserve"> of minds." In contract law, it refers to the situation where all parties to a contract have a mutual understanding and agree upon the same thing in the same sense.</w:t>
      </w:r>
    </w:p>
    <w:p w:rsidR="00D80A02" w:rsidRDefault="001A7F9F">
      <w:pPr>
        <w:numPr>
          <w:ilvl w:val="0"/>
          <w:numId w:val="2"/>
        </w:numPr>
        <w:spacing w:after="0" w:line="240" w:lineRule="auto"/>
        <w:jc w:val="both"/>
      </w:pPr>
      <w:r>
        <w:rPr>
          <w:rFonts w:ascii="Times New Roman" w:eastAsia="Times New Roman" w:hAnsi="Times New Roman" w:cs="Times New Roman"/>
        </w:rPr>
        <w:t>Under the Sale of Goods Act, a seller is deemed "unpaid" when the whole of the price has no</w:t>
      </w:r>
      <w:r>
        <w:rPr>
          <w:rFonts w:ascii="Times New Roman" w:eastAsia="Times New Roman" w:hAnsi="Times New Roman" w:cs="Times New Roman"/>
        </w:rPr>
        <w:t>t been paid or tendered, or when a conditional payment (like a bill of exchange) has been received but the condition has not been fulfilled due to the instrument being dishonored.</w:t>
      </w:r>
    </w:p>
    <w:p w:rsidR="00D80A02" w:rsidRDefault="001A7F9F">
      <w:pPr>
        <w:numPr>
          <w:ilvl w:val="0"/>
          <w:numId w:val="2"/>
        </w:numPr>
        <w:spacing w:after="0" w:line="240" w:lineRule="auto"/>
        <w:jc w:val="both"/>
      </w:pPr>
      <w:r>
        <w:rPr>
          <w:rFonts w:ascii="Times New Roman" w:eastAsia="Times New Roman" w:hAnsi="Times New Roman" w:cs="Times New Roman"/>
        </w:rPr>
        <w:t xml:space="preserve">"Caveat Emptor" is a Latin maxim meaning "let the buyer beware." It implies </w:t>
      </w:r>
      <w:r>
        <w:rPr>
          <w:rFonts w:ascii="Times New Roman" w:eastAsia="Times New Roman" w:hAnsi="Times New Roman" w:cs="Times New Roman"/>
        </w:rPr>
        <w:t>that the buyer must examine the goods thoroughly and satisfy themselves before purchasing, as the seller is generally not responsible for defects in the goods unless there is fraud or a breach of an implied condition.</w:t>
      </w:r>
    </w:p>
    <w:p w:rsidR="00D80A02" w:rsidRDefault="001A7F9F">
      <w:pPr>
        <w:numPr>
          <w:ilvl w:val="0"/>
          <w:numId w:val="2"/>
        </w:numPr>
        <w:spacing w:after="0" w:line="240" w:lineRule="auto"/>
        <w:jc w:val="both"/>
      </w:pPr>
      <w:r>
        <w:rPr>
          <w:rFonts w:ascii="Times New Roman" w:eastAsia="Times New Roman" w:hAnsi="Times New Roman" w:cs="Times New Roman"/>
        </w:rPr>
        <w:t>A prospectus is a formal legal documen</w:t>
      </w:r>
      <w:r>
        <w:rPr>
          <w:rFonts w:ascii="Times New Roman" w:eastAsia="Times New Roman" w:hAnsi="Times New Roman" w:cs="Times New Roman"/>
        </w:rPr>
        <w:t>t, such as a circular or advertisement, issued by a company to invite offers from the public for the subscription or purchase of any shares or debentures of the company.</w:t>
      </w:r>
    </w:p>
    <w:p w:rsidR="00D80A02" w:rsidRDefault="001A7F9F">
      <w:pPr>
        <w:numPr>
          <w:ilvl w:val="0"/>
          <w:numId w:val="2"/>
        </w:numPr>
        <w:spacing w:after="0" w:line="240" w:lineRule="auto"/>
        <w:jc w:val="both"/>
      </w:pPr>
      <w:r>
        <w:rPr>
          <w:rFonts w:ascii="Times New Roman" w:eastAsia="Times New Roman" w:hAnsi="Times New Roman" w:cs="Times New Roman"/>
        </w:rPr>
        <w:t>A private company restricts the right to transfer its shares and limits its members (t</w:t>
      </w:r>
      <w:r>
        <w:rPr>
          <w:rFonts w:ascii="Times New Roman" w:eastAsia="Times New Roman" w:hAnsi="Times New Roman" w:cs="Times New Roman"/>
        </w:rPr>
        <w:t>raditionally up to 50 under the 1956 Act), whereas a public company allows free transferability of shares and generally invites the public to subscribe to its capital.</w:t>
      </w:r>
    </w:p>
    <w:p w:rsidR="00D80A02" w:rsidRDefault="001A7F9F">
      <w:pPr>
        <w:numPr>
          <w:ilvl w:val="0"/>
          <w:numId w:val="2"/>
        </w:numPr>
        <w:spacing w:after="0" w:line="240" w:lineRule="auto"/>
        <w:jc w:val="both"/>
      </w:pPr>
      <w:r>
        <w:rPr>
          <w:rFonts w:ascii="Times New Roman" w:eastAsia="Times New Roman" w:hAnsi="Times New Roman" w:cs="Times New Roman"/>
        </w:rPr>
        <w:t>A complainant can be a consumer, any voluntary consumer association registered under law</w:t>
      </w:r>
      <w:r>
        <w:rPr>
          <w:rFonts w:ascii="Times New Roman" w:eastAsia="Times New Roman" w:hAnsi="Times New Roman" w:cs="Times New Roman"/>
        </w:rPr>
        <w:t>, the Central or State Government, or one or more consumers where there are numerous consumers having the same interest.\</w:t>
      </w:r>
    </w:p>
    <w:p w:rsidR="00D80A02" w:rsidRDefault="001A7F9F">
      <w:pPr>
        <w:numPr>
          <w:ilvl w:val="0"/>
          <w:numId w:val="2"/>
        </w:numPr>
        <w:spacing w:after="0" w:line="240" w:lineRule="auto"/>
        <w:jc w:val="both"/>
      </w:pPr>
      <w:r>
        <w:rPr>
          <w:rFonts w:ascii="Times New Roman" w:eastAsia="Times New Roman" w:hAnsi="Times New Roman" w:cs="Times New Roman"/>
        </w:rPr>
        <w:t>The primary objective of the Right to Information (RTI) Act is to empower citizens, promote transparency and accountability in the wor</w:t>
      </w:r>
      <w:r>
        <w:rPr>
          <w:rFonts w:ascii="Times New Roman" w:eastAsia="Times New Roman" w:hAnsi="Times New Roman" w:cs="Times New Roman"/>
        </w:rPr>
        <w:t>king of the Government, and contain corruption to make democracy work for the people in a real sense.</w:t>
      </w:r>
    </w:p>
    <w:p w:rsidR="00D80A02" w:rsidRDefault="001A7F9F">
      <w:pPr>
        <w:numPr>
          <w:ilvl w:val="0"/>
          <w:numId w:val="2"/>
        </w:numPr>
        <w:spacing w:after="0" w:line="240" w:lineRule="auto"/>
        <w:jc w:val="both"/>
      </w:pPr>
      <w:r>
        <w:rPr>
          <w:rFonts w:ascii="Times New Roman" w:eastAsia="Times New Roman" w:hAnsi="Times New Roman" w:cs="Times New Roman"/>
        </w:rPr>
        <w:t>Hacking involves gaining unauthorized access to data in a computer system or network with the intent to cause wrongful loss or damage to the public or any person.</w:t>
      </w:r>
    </w:p>
    <w:p w:rsidR="00D80A02" w:rsidRDefault="001A7F9F">
      <w:pPr>
        <w:numPr>
          <w:ilvl w:val="0"/>
          <w:numId w:val="2"/>
        </w:numPr>
        <w:spacing w:after="0" w:line="240" w:lineRule="auto"/>
        <w:jc w:val="both"/>
      </w:pPr>
      <w:r>
        <w:rPr>
          <w:rFonts w:ascii="Times New Roman" w:eastAsia="Times New Roman" w:hAnsi="Times New Roman" w:cs="Times New Roman"/>
        </w:rPr>
        <w:t>A digital signature is used to authenticate electronic records. It ensures the integrity of t</w:t>
      </w:r>
      <w:r>
        <w:rPr>
          <w:rFonts w:ascii="Times New Roman" w:eastAsia="Times New Roman" w:hAnsi="Times New Roman" w:cs="Times New Roman"/>
        </w:rPr>
        <w:t>he data (that it hasn't been altered) and confirms the identity of the person who sent or signed the electronic document.</w:t>
      </w:r>
    </w:p>
    <w:p w:rsidR="00D80A02" w:rsidRDefault="001A7F9F">
      <w:pPr>
        <w:numPr>
          <w:ilvl w:val="0"/>
          <w:numId w:val="2"/>
        </w:numPr>
        <w:spacing w:after="0" w:line="240" w:lineRule="auto"/>
        <w:jc w:val="both"/>
      </w:pPr>
      <w:r>
        <w:rPr>
          <w:rFonts w:ascii="Times New Roman" w:eastAsia="Times New Roman" w:hAnsi="Times New Roman" w:cs="Times New Roman"/>
        </w:rPr>
        <w:t xml:space="preserve">According to Section 2(d), consideration is defined as: "When, at the desire of the promisor, the </w:t>
      </w:r>
      <w:proofErr w:type="spellStart"/>
      <w:r>
        <w:rPr>
          <w:rFonts w:ascii="Times New Roman" w:eastAsia="Times New Roman" w:hAnsi="Times New Roman" w:cs="Times New Roman"/>
        </w:rPr>
        <w:t>promisee</w:t>
      </w:r>
      <w:proofErr w:type="spellEnd"/>
      <w:r>
        <w:rPr>
          <w:rFonts w:ascii="Times New Roman" w:eastAsia="Times New Roman" w:hAnsi="Times New Roman" w:cs="Times New Roman"/>
        </w:rPr>
        <w:t xml:space="preserve"> or any other person has don</w:t>
      </w:r>
      <w:r>
        <w:rPr>
          <w:rFonts w:ascii="Times New Roman" w:eastAsia="Times New Roman" w:hAnsi="Times New Roman" w:cs="Times New Roman"/>
        </w:rPr>
        <w:t>e or abstained from doing, or does or abstains from doing, or promises to do or to abstain from doing, something, such act or abstinence or promise is called a consideration for the promise." In simple terms, it means "something in return" (Quid Pro Quo).</w:t>
      </w:r>
    </w:p>
    <w:p w:rsidR="00D80A02" w:rsidRDefault="001A7F9F">
      <w:pPr>
        <w:numPr>
          <w:ilvl w:val="0"/>
          <w:numId w:val="2"/>
        </w:numPr>
        <w:spacing w:after="280" w:line="240" w:lineRule="auto"/>
        <w:jc w:val="both"/>
      </w:pPr>
      <w:r>
        <w:rPr>
          <w:rFonts w:ascii="Times New Roman" w:eastAsia="Times New Roman" w:hAnsi="Times New Roman" w:cs="Times New Roman"/>
        </w:rPr>
        <w:t xml:space="preserve">While both work for another, an agent is employed to create a contractual relationship between the principal and third parties. In contrast, a servant usually does not have the </w:t>
      </w:r>
      <w:r>
        <w:rPr>
          <w:rFonts w:ascii="Times New Roman" w:eastAsia="Times New Roman" w:hAnsi="Times New Roman" w:cs="Times New Roman"/>
        </w:rPr>
        <w:lastRenderedPageBreak/>
        <w:t>power to bind the master in contracts with third parties and works under the di</w:t>
      </w:r>
      <w:r>
        <w:rPr>
          <w:rFonts w:ascii="Times New Roman" w:eastAsia="Times New Roman" w:hAnsi="Times New Roman" w:cs="Times New Roman"/>
        </w:rPr>
        <w:t>rect control and supervision of the master regarding the manner of work.</w:t>
      </w:r>
    </w:p>
    <w:p w:rsidR="00D80A02" w:rsidRDefault="001A7F9F">
      <w:pPr>
        <w:spacing w:before="280" w:after="280" w:line="240" w:lineRule="auto"/>
        <w:jc w:val="center"/>
        <w:rPr>
          <w:rFonts w:ascii="Times New Roman" w:eastAsia="Times New Roman" w:hAnsi="Times New Roman" w:cs="Times New Roman"/>
        </w:rPr>
      </w:pPr>
      <w:r>
        <w:rPr>
          <w:rFonts w:ascii="Times New Roman" w:eastAsia="Times New Roman" w:hAnsi="Times New Roman" w:cs="Times New Roman"/>
        </w:rPr>
        <w:t>PART B</w:t>
      </w:r>
    </w:p>
    <w:p w:rsidR="00D80A02" w:rsidRDefault="001A7F9F">
      <w:pPr>
        <w:numPr>
          <w:ilvl w:val="0"/>
          <w:numId w:val="2"/>
        </w:numPr>
        <w:spacing w:line="240" w:lineRule="auto"/>
      </w:pPr>
      <w:r>
        <w:rPr>
          <w:rFonts w:ascii="Times New Roman" w:eastAsia="Times New Roman" w:hAnsi="Times New Roman" w:cs="Times New Roman"/>
          <w:b/>
          <w:bCs/>
        </w:rPr>
        <w:t>(I)Discharge by Performance</w:t>
      </w:r>
      <w:r>
        <w:rPr>
          <w:rFonts w:ascii="Times New Roman" w:eastAsia="Times New Roman" w:hAnsi="Times New Roman" w:cs="Times New Roman"/>
        </w:rPr>
        <w:t>: This is the most common way a contract ends—both parties do exactly what they promised.</w:t>
      </w:r>
    </w:p>
    <w:p w:rsidR="00D80A02" w:rsidRPr="001A7F9F" w:rsidRDefault="001A7F9F" w:rsidP="001A7F9F">
      <w:pPr>
        <w:pStyle w:val="ListParagraph"/>
        <w:numPr>
          <w:ilvl w:val="0"/>
          <w:numId w:val="21"/>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 xml:space="preserve">Actual Performance: </w:t>
      </w:r>
    </w:p>
    <w:p w:rsidR="00D80A02" w:rsidRPr="001A7F9F" w:rsidRDefault="001A7F9F" w:rsidP="001A7F9F">
      <w:pPr>
        <w:pStyle w:val="ListParagraph"/>
        <w:numPr>
          <w:ilvl w:val="0"/>
          <w:numId w:val="21"/>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 xml:space="preserve">Attempted Performance </w:t>
      </w:r>
    </w:p>
    <w:p w:rsidR="00D80A02" w:rsidRDefault="001A7F9F">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(II) Discharge </w:t>
      </w:r>
      <w:r>
        <w:rPr>
          <w:rFonts w:ascii="Times New Roman" w:eastAsia="Times New Roman" w:hAnsi="Times New Roman" w:cs="Times New Roman"/>
          <w:b/>
          <w:bCs/>
          <w:color w:val="000000"/>
        </w:rPr>
        <w:t>by Mutual Agreement:</w:t>
      </w:r>
      <w:r>
        <w:rPr>
          <w:rFonts w:ascii="Times New Roman" w:eastAsia="Times New Roman" w:hAnsi="Times New Roman" w:cs="Times New Roman"/>
          <w:color w:val="000000"/>
        </w:rPr>
        <w:t xml:space="preserve"> Since a contract is created by agreement, it can be cancelled or changed by agreement.</w:t>
      </w:r>
    </w:p>
    <w:p w:rsidR="00D80A02" w:rsidRPr="001A7F9F" w:rsidRDefault="001A7F9F" w:rsidP="001A7F9F">
      <w:pPr>
        <w:pStyle w:val="ListParagraph"/>
        <w:numPr>
          <w:ilvl w:val="0"/>
          <w:numId w:val="22"/>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Novation: Substituting the old contract with a new one.</w:t>
      </w:r>
    </w:p>
    <w:p w:rsidR="00D80A02" w:rsidRPr="001A7F9F" w:rsidRDefault="001A7F9F" w:rsidP="001A7F9F">
      <w:pPr>
        <w:pStyle w:val="ListParagraph"/>
        <w:numPr>
          <w:ilvl w:val="0"/>
          <w:numId w:val="22"/>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Rescission: Cancelling the contract by mutual consent.</w:t>
      </w:r>
    </w:p>
    <w:p w:rsidR="00D80A02" w:rsidRPr="001A7F9F" w:rsidRDefault="001A7F9F" w:rsidP="001A7F9F">
      <w:pPr>
        <w:pStyle w:val="ListParagraph"/>
        <w:numPr>
          <w:ilvl w:val="0"/>
          <w:numId w:val="22"/>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Alteration: Changing one or more terms of the contract.</w:t>
      </w:r>
    </w:p>
    <w:p w:rsidR="00D80A02" w:rsidRPr="001A7F9F" w:rsidRDefault="001A7F9F" w:rsidP="001A7F9F">
      <w:pPr>
        <w:pStyle w:val="ListParagraph"/>
        <w:numPr>
          <w:ilvl w:val="0"/>
          <w:numId w:val="22"/>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Remission: Accepting a lesser performance than what was agreed (e.g., accepting ₹800 for a ₹1,000 debt).</w:t>
      </w:r>
    </w:p>
    <w:p w:rsidR="00D80A02" w:rsidRPr="001A7F9F" w:rsidRDefault="001A7F9F" w:rsidP="001A7F9F">
      <w:pPr>
        <w:pStyle w:val="ListParagraph"/>
        <w:numPr>
          <w:ilvl w:val="0"/>
          <w:numId w:val="22"/>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Waiver: Abandoning the right to performance altogether.</w:t>
      </w:r>
    </w:p>
    <w:p w:rsidR="00D80A02" w:rsidRDefault="001A7F9F">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b/>
          <w:bCs/>
          <w:color w:val="000000"/>
        </w:rPr>
        <w:t>III) Discharge by Subsequent Impossibi</w:t>
      </w:r>
      <w:r>
        <w:rPr>
          <w:rFonts w:ascii="Times New Roman" w:eastAsia="Times New Roman" w:hAnsi="Times New Roman" w:cs="Times New Roman"/>
          <w:b/>
          <w:bCs/>
          <w:color w:val="000000"/>
        </w:rPr>
        <w:t>lity:</w:t>
      </w:r>
      <w:r>
        <w:rPr>
          <w:rFonts w:ascii="Times New Roman" w:eastAsia="Times New Roman" w:hAnsi="Times New Roman" w:cs="Times New Roman"/>
          <w:color w:val="000000"/>
        </w:rPr>
        <w:t xml:space="preserve"> Known as the Doctrine of Frustration. If an event occurs after the contract is signed that makes performance impossible or unlawful, the contract is discharged. Examples: Destruction of subject matter (a hall burns down before a concert), death or pe</w:t>
      </w:r>
      <w:r>
        <w:rPr>
          <w:rFonts w:ascii="Times New Roman" w:eastAsia="Times New Roman" w:hAnsi="Times New Roman" w:cs="Times New Roman"/>
          <w:color w:val="000000"/>
        </w:rPr>
        <w:t>rsonal incapacity (a singer falls ill), or a change in law (government bans the trade of a specific item).</w:t>
      </w:r>
    </w:p>
    <w:p w:rsidR="00D80A02" w:rsidRDefault="001A7F9F">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b/>
          <w:bCs/>
          <w:color w:val="000000"/>
        </w:rPr>
        <w:t>(IV) Discharge by Lapse of Time:</w:t>
      </w:r>
      <w:r>
        <w:rPr>
          <w:rFonts w:ascii="Times New Roman" w:eastAsia="Times New Roman" w:hAnsi="Times New Roman" w:cs="Times New Roman"/>
          <w:color w:val="000000"/>
        </w:rPr>
        <w:t xml:space="preserve"> The Limitation Act, 1963 specifies a time frame (usually 3 years for most contracts) within which a contract must be</w:t>
      </w:r>
      <w:r>
        <w:rPr>
          <w:rFonts w:ascii="Times New Roman" w:eastAsia="Times New Roman" w:hAnsi="Times New Roman" w:cs="Times New Roman"/>
          <w:color w:val="000000"/>
        </w:rPr>
        <w:t xml:space="preserve"> enforced. If the time expires and no action is taken, the contract becomes unenforceable by law.</w:t>
      </w:r>
    </w:p>
    <w:p w:rsidR="00D80A02" w:rsidRDefault="001A7F9F">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b/>
          <w:bCs/>
          <w:color w:val="000000"/>
        </w:rPr>
        <w:t>(V) Discharge by Operation of Law</w:t>
      </w:r>
      <w:r>
        <w:rPr>
          <w:rFonts w:ascii="Times New Roman" w:eastAsia="Times New Roman" w:hAnsi="Times New Roman" w:cs="Times New Roman"/>
          <w:color w:val="000000"/>
        </w:rPr>
        <w:t>: A contract may be terminated by certain legal developments, such as:</w:t>
      </w:r>
    </w:p>
    <w:p w:rsidR="00D80A02" w:rsidRPr="001A7F9F" w:rsidRDefault="001A7F9F" w:rsidP="001A7F9F">
      <w:pPr>
        <w:pStyle w:val="ListParagraph"/>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Death: In contracts involving personal skill.</w:t>
      </w:r>
    </w:p>
    <w:p w:rsidR="00D80A02" w:rsidRPr="001A7F9F" w:rsidRDefault="001A7F9F" w:rsidP="001A7F9F">
      <w:pPr>
        <w:pStyle w:val="ListParagraph"/>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Insolven</w:t>
      </w:r>
      <w:r w:rsidRPr="001A7F9F">
        <w:rPr>
          <w:rFonts w:ascii="Times New Roman" w:eastAsia="Times New Roman" w:hAnsi="Times New Roman" w:cs="Times New Roman"/>
          <w:color w:val="000000"/>
        </w:rPr>
        <w:t>cy: When a person is declared bankrupt by a court.</w:t>
      </w:r>
    </w:p>
    <w:p w:rsidR="00D80A02" w:rsidRPr="001A7F9F" w:rsidRDefault="001A7F9F" w:rsidP="001A7F9F">
      <w:pPr>
        <w:pStyle w:val="ListParagraph"/>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Merger: When an "inferior" right merges into a "superior" one (e.g., a tenant buys the house they were renting).</w:t>
      </w:r>
    </w:p>
    <w:p w:rsidR="00D80A02" w:rsidRDefault="001A7F9F">
      <w:pPr>
        <w:pBdr>
          <w:top w:val="nil"/>
          <w:left w:val="nil"/>
          <w:bottom w:val="nil"/>
          <w:right w:val="nil"/>
          <w:between w:val="nil"/>
        </w:pBdr>
        <w:spacing w:line="240" w:lineRule="auto"/>
        <w:ind w:left="720"/>
        <w:rPr>
          <w:rFonts w:ascii="Times New Roman" w:eastAsia="Times New Roman" w:hAnsi="Times New Roman" w:cs="Times New Roman"/>
          <w:color w:val="000000"/>
        </w:rPr>
      </w:pPr>
      <w:r>
        <w:rPr>
          <w:rFonts w:ascii="Times New Roman" w:eastAsia="Times New Roman" w:hAnsi="Times New Roman" w:cs="Times New Roman"/>
          <w:b/>
          <w:bCs/>
          <w:color w:val="000000"/>
        </w:rPr>
        <w:t>(VI) Discharge by Breach of Contract (Sec. 39):</w:t>
      </w:r>
      <w:r>
        <w:rPr>
          <w:rFonts w:ascii="Times New Roman" w:eastAsia="Times New Roman" w:hAnsi="Times New Roman" w:cs="Times New Roman"/>
          <w:color w:val="000000"/>
        </w:rPr>
        <w:t xml:space="preserve"> When one party fails to perform their obligation, the other party is discharged from their duty and gains the right to sue for damages. </w:t>
      </w:r>
    </w:p>
    <w:p w:rsidR="00D80A02" w:rsidRPr="001A7F9F" w:rsidRDefault="001A7F9F" w:rsidP="001A7F9F">
      <w:pPr>
        <w:pStyle w:val="ListParagraph"/>
        <w:numPr>
          <w:ilvl w:val="0"/>
          <w:numId w:val="23"/>
        </w:numPr>
        <w:pBdr>
          <w:top w:val="nil"/>
          <w:left w:val="nil"/>
          <w:bottom w:val="nil"/>
          <w:right w:val="nil"/>
          <w:between w:val="nil"/>
        </w:pBdr>
        <w:spacing w:before="280" w:after="240" w:line="240" w:lineRule="auto"/>
        <w:rPr>
          <w:rFonts w:ascii="Times New Roman" w:eastAsia="Times New Roman" w:hAnsi="Times New Roman" w:cs="Times New Roman"/>
          <w:color w:val="000000"/>
        </w:rPr>
      </w:pPr>
      <w:r w:rsidRPr="001A7F9F">
        <w:rPr>
          <w:rFonts w:ascii="Times New Roman" w:eastAsia="Times New Roman" w:hAnsi="Times New Roman" w:cs="Times New Roman"/>
          <w:color w:val="000000"/>
        </w:rPr>
        <w:t>Actual Breach</w:t>
      </w:r>
    </w:p>
    <w:p w:rsidR="00D80A02" w:rsidRPr="001A7F9F" w:rsidRDefault="001A7F9F" w:rsidP="001A7F9F">
      <w:pPr>
        <w:pStyle w:val="ListParagraph"/>
        <w:numPr>
          <w:ilvl w:val="0"/>
          <w:numId w:val="23"/>
        </w:numPr>
        <w:pBdr>
          <w:top w:val="nil"/>
          <w:left w:val="nil"/>
          <w:bottom w:val="nil"/>
          <w:right w:val="nil"/>
          <w:between w:val="nil"/>
        </w:pBdr>
        <w:spacing w:after="240" w:line="240" w:lineRule="auto"/>
        <w:rPr>
          <w:rFonts w:ascii="Times New Roman" w:eastAsia="Times New Roman" w:hAnsi="Times New Roman" w:cs="Times New Roman"/>
        </w:rPr>
      </w:pPr>
      <w:r w:rsidRPr="001A7F9F">
        <w:rPr>
          <w:rFonts w:ascii="Times New Roman" w:eastAsia="Times New Roman" w:hAnsi="Times New Roman" w:cs="Times New Roman"/>
          <w:color w:val="000000"/>
        </w:rPr>
        <w:t>Anticipatory Breach</w:t>
      </w:r>
    </w:p>
    <w:p w:rsidR="00D80A02" w:rsidRDefault="00D80A02">
      <w:pPr>
        <w:numPr>
          <w:ilvl w:val="0"/>
          <w:numId w:val="2"/>
        </w:numPr>
        <w:pBdr>
          <w:top w:val="nil"/>
          <w:left w:val="nil"/>
          <w:bottom w:val="nil"/>
          <w:right w:val="nil"/>
          <w:between w:val="nil"/>
        </w:pBdr>
        <w:spacing w:before="280" w:after="240" w:line="240" w:lineRule="auto"/>
      </w:pPr>
    </w:p>
    <w:tbl>
      <w:tblPr>
        <w:tblStyle w:val="a"/>
        <w:tblW w:w="9480" w:type="dxa"/>
        <w:tblInd w:w="-15" w:type="dxa"/>
        <w:tblLayout w:type="fixed"/>
        <w:tblLook w:val="0400" w:firstRow="0" w:lastRow="0" w:firstColumn="0" w:lastColumn="0" w:noHBand="0" w:noVBand="1"/>
      </w:tblPr>
      <w:tblGrid>
        <w:gridCol w:w="1670"/>
        <w:gridCol w:w="3580"/>
        <w:gridCol w:w="4230"/>
      </w:tblGrid>
      <w:tr w:rsidR="00D80A02">
        <w:trPr>
          <w:tblHeader/>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Pr="001A7F9F" w:rsidRDefault="001A7F9F">
            <w:pPr>
              <w:spacing w:after="480" w:line="240" w:lineRule="auto"/>
              <w:rPr>
                <w:rFonts w:ascii="Times New Roman" w:eastAsia="Times New Roman" w:hAnsi="Times New Roman" w:cs="Times New Roman"/>
                <w:b/>
              </w:rPr>
            </w:pPr>
            <w:r w:rsidRPr="001A7F9F">
              <w:rPr>
                <w:rFonts w:ascii="Times New Roman" w:eastAsia="Times New Roman" w:hAnsi="Times New Roman" w:cs="Times New Roman"/>
                <w:b/>
              </w:rPr>
              <w:lastRenderedPageBreak/>
              <w:t>Basis of Comparison</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Pr="001A7F9F" w:rsidRDefault="001A7F9F" w:rsidP="001A7F9F">
            <w:pPr>
              <w:spacing w:after="480" w:line="240" w:lineRule="auto"/>
              <w:rPr>
                <w:rFonts w:ascii="Times New Roman" w:eastAsia="Times New Roman" w:hAnsi="Times New Roman" w:cs="Times New Roman"/>
                <w:b/>
              </w:rPr>
            </w:pPr>
            <w:r w:rsidRPr="001A7F9F">
              <w:rPr>
                <w:rFonts w:ascii="Times New Roman" w:eastAsia="Times New Roman" w:hAnsi="Times New Roman" w:cs="Times New Roman"/>
                <w:b/>
              </w:rPr>
              <w:t xml:space="preserve">Contract of Indemnity </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Pr="001A7F9F" w:rsidRDefault="001A7F9F" w:rsidP="001A7F9F">
            <w:pPr>
              <w:spacing w:after="480" w:line="240" w:lineRule="auto"/>
              <w:rPr>
                <w:rFonts w:ascii="Times New Roman" w:eastAsia="Times New Roman" w:hAnsi="Times New Roman" w:cs="Times New Roman"/>
                <w:b/>
              </w:rPr>
            </w:pPr>
            <w:r w:rsidRPr="001A7F9F">
              <w:rPr>
                <w:rFonts w:ascii="Times New Roman" w:eastAsia="Times New Roman" w:hAnsi="Times New Roman" w:cs="Times New Roman"/>
                <w:b/>
              </w:rPr>
              <w:t xml:space="preserve">Contract of Guarantee </w:t>
            </w:r>
          </w:p>
        </w:tc>
      </w:tr>
      <w:tr w:rsidR="00D80A02" w:rsidTr="001A7F9F">
        <w:trPr>
          <w:trHeight w:val="870"/>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Meaning</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A promise to save the other party from loss caused by the promisor or a third party.</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A promise to perform the contract or discharge the liability of a third person in case of default.</w:t>
            </w:r>
          </w:p>
        </w:tc>
      </w:tr>
      <w:tr w:rsidR="00D80A02" w:rsidTr="001A7F9F">
        <w:trPr>
          <w:trHeight w:val="510"/>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Number of Parties</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Two: Indemn</w:t>
            </w:r>
            <w:r>
              <w:rPr>
                <w:rFonts w:ascii="Times New Roman" w:eastAsia="Times New Roman" w:hAnsi="Times New Roman" w:cs="Times New Roman"/>
              </w:rPr>
              <w:t>ifier (Promisor) and Indemnified (Indemnity Holder).</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Three: Principal Debtor, Creditor, and Surety (Guarantor).</w:t>
            </w:r>
          </w:p>
        </w:tc>
      </w:tr>
      <w:tr w:rsidR="00D80A02" w:rsidTr="001A7F9F">
        <w:trPr>
          <w:trHeight w:val="420"/>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Number of Contracts</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Only one contract between the indemnifier and the indemnified.</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Three contracts: (1) Creditor &amp; Debtor, (2) Creditor &amp;</w:t>
            </w:r>
            <w:r>
              <w:rPr>
                <w:rFonts w:ascii="Times New Roman" w:eastAsia="Times New Roman" w:hAnsi="Times New Roman" w:cs="Times New Roman"/>
              </w:rPr>
              <w:t xml:space="preserve"> Surety, (3) Surety &amp; Debtor.</w:t>
            </w:r>
          </w:p>
        </w:tc>
      </w:tr>
      <w:tr w:rsidR="00D80A02" w:rsidTr="001A7F9F">
        <w:trPr>
          <w:trHeight w:val="690"/>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Nature of Liability</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The liability of the indemnifier is Primary and independent.</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The liability of the surety is Secondary (arises only if the debtor defaults).</w:t>
            </w:r>
          </w:p>
        </w:tc>
      </w:tr>
      <w:tr w:rsidR="00D80A02" w:rsidTr="001A7F9F">
        <w:trPr>
          <w:trHeight w:val="438"/>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Purpose</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To provide compensation for loss.</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To provide assurance/security for the performance of a debt or duty.</w:t>
            </w:r>
          </w:p>
        </w:tc>
      </w:tr>
      <w:tr w:rsidR="00D80A02">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Request of Debtor</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The indemnifier acts without any request from a third party.</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It is essential that the surety gives the guarantee at the request of the debtor.</w:t>
            </w:r>
          </w:p>
        </w:tc>
      </w:tr>
      <w:tr w:rsidR="00D80A02" w:rsidTr="001A7F9F">
        <w:trPr>
          <w:trHeight w:val="618"/>
        </w:trPr>
        <w:tc>
          <w:tcPr>
            <w:tcW w:w="167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Right to Sue</w:t>
            </w:r>
          </w:p>
        </w:tc>
        <w:tc>
          <w:tcPr>
            <w:tcW w:w="358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The indemni</w:t>
            </w:r>
            <w:r>
              <w:rPr>
                <w:rFonts w:ascii="Times New Roman" w:eastAsia="Times New Roman" w:hAnsi="Times New Roman" w:cs="Times New Roman"/>
              </w:rPr>
              <w:t>fier cannot sue a third party in his own name.</w:t>
            </w:r>
          </w:p>
        </w:tc>
        <w:tc>
          <w:tcPr>
            <w:tcW w:w="4230"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480" w:line="240" w:lineRule="auto"/>
              <w:rPr>
                <w:rFonts w:ascii="Times New Roman" w:eastAsia="Times New Roman" w:hAnsi="Times New Roman" w:cs="Times New Roman"/>
              </w:rPr>
            </w:pPr>
            <w:r>
              <w:rPr>
                <w:rFonts w:ascii="Times New Roman" w:eastAsia="Times New Roman" w:hAnsi="Times New Roman" w:cs="Times New Roman"/>
              </w:rPr>
              <w:t>The surety, after paying the creditor, can sue the principal debtor in his own name.</w:t>
            </w:r>
          </w:p>
        </w:tc>
      </w:tr>
    </w:tbl>
    <w:p w:rsidR="00D80A02" w:rsidRDefault="00D80A02">
      <w:pPr>
        <w:numPr>
          <w:ilvl w:val="0"/>
          <w:numId w:val="2"/>
        </w:numPr>
        <w:pBdr>
          <w:top w:val="nil"/>
          <w:left w:val="nil"/>
          <w:bottom w:val="nil"/>
          <w:right w:val="nil"/>
          <w:between w:val="nil"/>
        </w:pBdr>
        <w:spacing w:before="280" w:after="280" w:line="240" w:lineRule="auto"/>
        <w:jc w:val="both"/>
        <w:rPr>
          <w:color w:val="000000"/>
        </w:rPr>
      </w:pP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Nature of contract: - Sale is an executed contract, while an agreement to sell is an executor</w:t>
      </w:r>
    </w:p>
    <w:p w:rsidR="00D80A02" w:rsidRDefault="001A7F9F">
      <w:p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contract</w:t>
      </w:r>
      <w:proofErr w:type="gramEnd"/>
      <w:r>
        <w:rPr>
          <w:rFonts w:ascii="Times New Roman" w:eastAsia="Times New Roman" w:hAnsi="Times New Roman" w:cs="Times New Roman"/>
        </w:rPr>
        <w:t>, because it is yet to be performed.</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Transfer of property: - In sale, the property in goods passes to the buyer immediately at the time of making the contract, but in an agreement to sale, transfer of property in goods takes place</w:t>
      </w:r>
    </w:p>
    <w:p w:rsidR="00D80A02" w:rsidRDefault="001A7F9F">
      <w:pP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at</w:t>
      </w:r>
      <w:proofErr w:type="gramEnd"/>
      <w:r>
        <w:rPr>
          <w:rFonts w:ascii="Times New Roman" w:eastAsia="Times New Roman" w:hAnsi="Times New Roman" w:cs="Times New Roman"/>
        </w:rPr>
        <w:t xml:space="preserve"> some future</w:t>
      </w:r>
      <w:r>
        <w:rPr>
          <w:rFonts w:ascii="Times New Roman" w:eastAsia="Times New Roman" w:hAnsi="Times New Roman" w:cs="Times New Roman"/>
        </w:rPr>
        <w:t xml:space="preserve"> date.</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Nature of right: - A sale creates ‘jus in rem’ gives right </w:t>
      </w:r>
      <w:proofErr w:type="spellStart"/>
      <w:r>
        <w:rPr>
          <w:rFonts w:ascii="Times New Roman" w:eastAsia="Times New Roman" w:hAnsi="Times New Roman" w:cs="Times New Roman"/>
        </w:rPr>
        <w:t>o</w:t>
      </w:r>
      <w:proofErr w:type="spellEnd"/>
      <w:r>
        <w:rPr>
          <w:rFonts w:ascii="Times New Roman" w:eastAsia="Times New Roman" w:hAnsi="Times New Roman" w:cs="Times New Roman"/>
        </w:rPr>
        <w:t xml:space="preserve"> the buyer to enjoy the goods as against the world at large. An agreement to sell creates ‘Jus in </w:t>
      </w:r>
      <w:proofErr w:type="spellStart"/>
      <w:r>
        <w:rPr>
          <w:rFonts w:ascii="Times New Roman" w:eastAsia="Times New Roman" w:hAnsi="Times New Roman" w:cs="Times New Roman"/>
        </w:rPr>
        <w:t>personam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ie</w:t>
      </w:r>
      <w:proofErr w:type="spellEnd"/>
      <w:r>
        <w:rPr>
          <w:rFonts w:ascii="Times New Roman" w:eastAsia="Times New Roman" w:hAnsi="Times New Roman" w:cs="Times New Roman"/>
        </w:rPr>
        <w:t>; gives a right to the buyer against the seller to sue for damage.</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4. Risk </w:t>
      </w:r>
      <w:r>
        <w:rPr>
          <w:rFonts w:ascii="Times New Roman" w:eastAsia="Times New Roman" w:hAnsi="Times New Roman" w:cs="Times New Roman"/>
        </w:rPr>
        <w:t xml:space="preserve">of loss: - In sale, when the goods are destroyed even in the possession of seller without his fault, the buyer of those goods will bear the los. On the other hand, in an agreement to sell, in </w:t>
      </w:r>
      <w:r>
        <w:rPr>
          <w:rFonts w:ascii="Times New Roman" w:eastAsia="Times New Roman" w:hAnsi="Times New Roman" w:cs="Times New Roman"/>
        </w:rPr>
        <w:lastRenderedPageBreak/>
        <w:t>case the goods are destroyed, in transit, or in the possession o</w:t>
      </w:r>
      <w:r>
        <w:rPr>
          <w:rFonts w:ascii="Times New Roman" w:eastAsia="Times New Roman" w:hAnsi="Times New Roman" w:cs="Times New Roman"/>
        </w:rPr>
        <w:t>f buyer without his fault. The loss of goods falls on the seller.</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 Breach of contract by buyer: - In a sale, in case of breach by the buyer, the seller can sue for price of the goods. But in an agreement to sell, if the buyer fails to accept the goods, t</w:t>
      </w:r>
      <w:r>
        <w:rPr>
          <w:rFonts w:ascii="Times New Roman" w:eastAsia="Times New Roman" w:hAnsi="Times New Roman" w:cs="Times New Roman"/>
        </w:rPr>
        <w:t>he seller may sue for damages only and not for the price.</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Breach of contract by the buyer: - In sale, if the seller makes breach of contract, the buyer gets two rights. The buyer can file suit against seller for damages and can also use the rights to fo</w:t>
      </w:r>
      <w:r>
        <w:rPr>
          <w:rFonts w:ascii="Times New Roman" w:eastAsia="Times New Roman" w:hAnsi="Times New Roman" w:cs="Times New Roman"/>
        </w:rPr>
        <w:t>llow property in the hands of subsequent buyer. But in an agreement to sell, the buyer can only claim for damages.</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Insolvency of the seller: - In a sale, if the seller become insolvent, the buyer is entitles to recover the goods form the assignee or off</w:t>
      </w:r>
      <w:r>
        <w:rPr>
          <w:rFonts w:ascii="Times New Roman" w:eastAsia="Times New Roman" w:hAnsi="Times New Roman" w:cs="Times New Roman"/>
        </w:rPr>
        <w:t xml:space="preserve">icial receiver. In an agreement to sell, if the buyer has already paid the price and seller becomes insolvent, the buyer can claim only a </w:t>
      </w:r>
      <w:proofErr w:type="spellStart"/>
      <w:r>
        <w:rPr>
          <w:rFonts w:ascii="Times New Roman" w:eastAsia="Times New Roman" w:hAnsi="Times New Roman" w:cs="Times New Roman"/>
        </w:rPr>
        <w:t>rateable</w:t>
      </w:r>
      <w:proofErr w:type="spellEnd"/>
      <w:r>
        <w:rPr>
          <w:rFonts w:ascii="Times New Roman" w:eastAsia="Times New Roman" w:hAnsi="Times New Roman" w:cs="Times New Roman"/>
        </w:rPr>
        <w:t xml:space="preserve"> dividend and not the goods.</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8. Insolvency of the buyer: - In a sale, if the buyer become insolvent the seller</w:t>
      </w:r>
      <w:r>
        <w:rPr>
          <w:rFonts w:ascii="Times New Roman" w:eastAsia="Times New Roman" w:hAnsi="Times New Roman" w:cs="Times New Roman"/>
        </w:rPr>
        <w:t xml:space="preserve"> is entitled to a </w:t>
      </w:r>
      <w:proofErr w:type="spellStart"/>
      <w:r>
        <w:rPr>
          <w:rFonts w:ascii="Times New Roman" w:eastAsia="Times New Roman" w:hAnsi="Times New Roman" w:cs="Times New Roman"/>
        </w:rPr>
        <w:t>rateable</w:t>
      </w:r>
      <w:proofErr w:type="spellEnd"/>
      <w:r>
        <w:rPr>
          <w:rFonts w:ascii="Times New Roman" w:eastAsia="Times New Roman" w:hAnsi="Times New Roman" w:cs="Times New Roman"/>
        </w:rPr>
        <w:t xml:space="preserve"> dividend for the price of the goods. But in an agreement to sell, if the buyer becomes insolvent before he pays for the goods, the seller may refuses to sell the goods.</w:t>
      </w:r>
    </w:p>
    <w:p w:rsidR="00D80A02" w:rsidRDefault="00D80A02">
      <w:pPr>
        <w:spacing w:after="0" w:line="240" w:lineRule="auto"/>
        <w:jc w:val="both"/>
        <w:rPr>
          <w:rFonts w:ascii="Times New Roman" w:eastAsia="Times New Roman" w:hAnsi="Times New Roman" w:cs="Times New Roman"/>
        </w:rPr>
      </w:pPr>
    </w:p>
    <w:p w:rsidR="00D80A02" w:rsidRDefault="00D80A02">
      <w:pPr>
        <w:numPr>
          <w:ilvl w:val="0"/>
          <w:numId w:val="2"/>
        </w:numPr>
        <w:pBdr>
          <w:top w:val="nil"/>
          <w:left w:val="nil"/>
          <w:bottom w:val="nil"/>
          <w:right w:val="nil"/>
          <w:between w:val="nil"/>
        </w:pBdr>
        <w:spacing w:after="0" w:line="240" w:lineRule="auto"/>
        <w:jc w:val="both"/>
        <w:rPr>
          <w:color w:val="000000"/>
        </w:rPr>
      </w:pP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Memorandum of Association (</w:t>
      </w:r>
      <w:proofErr w:type="spellStart"/>
      <w:r>
        <w:rPr>
          <w:rFonts w:ascii="Times New Roman" w:eastAsia="Times New Roman" w:hAnsi="Times New Roman" w:cs="Times New Roman"/>
        </w:rPr>
        <w:t>MoA</w:t>
      </w:r>
      <w:proofErr w:type="spellEnd"/>
      <w:r>
        <w:rPr>
          <w:rFonts w:ascii="Times New Roman" w:eastAsia="Times New Roman" w:hAnsi="Times New Roman" w:cs="Times New Roman"/>
        </w:rPr>
        <w:t>) is the fundamental docum</w:t>
      </w:r>
      <w:r>
        <w:rPr>
          <w:rFonts w:ascii="Times New Roman" w:eastAsia="Times New Roman" w:hAnsi="Times New Roman" w:cs="Times New Roman"/>
        </w:rPr>
        <w:t>ent of a company, often called its "charter" or "constitution." It defines the scope of the company's activities and its relationship with the outside world.</w:t>
      </w:r>
    </w:p>
    <w:p w:rsidR="001A7F9F" w:rsidRDefault="001A7F9F" w:rsidP="001A7F9F">
      <w:pPr>
        <w:spacing w:after="0" w:line="240" w:lineRule="auto"/>
        <w:rPr>
          <w:rFonts w:ascii="Times New Roman" w:eastAsia="Times New Roman" w:hAnsi="Times New Roman" w:cs="Times New Roman"/>
          <w:b/>
        </w:rPr>
      </w:pPr>
      <w:r w:rsidRPr="001A7F9F">
        <w:rPr>
          <w:rFonts w:ascii="Times New Roman" w:eastAsia="Times New Roman" w:hAnsi="Times New Roman" w:cs="Times New Roman"/>
          <w:b/>
        </w:rPr>
        <w:t>Content</w:t>
      </w:r>
      <w:r>
        <w:rPr>
          <w:rFonts w:ascii="Times New Roman" w:eastAsia="Times New Roman" w:hAnsi="Times New Roman" w:cs="Times New Roman"/>
          <w:b/>
        </w:rPr>
        <w:t xml:space="preserve">s of Memorandum of Association </w:t>
      </w:r>
    </w:p>
    <w:p w:rsidR="00D80A02" w:rsidRDefault="001A7F9F" w:rsidP="001A7F9F">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Every </w:t>
      </w:r>
      <w:proofErr w:type="spellStart"/>
      <w:r>
        <w:rPr>
          <w:rFonts w:ascii="Times New Roman" w:eastAsia="Times New Roman" w:hAnsi="Times New Roman" w:cs="Times New Roman"/>
        </w:rPr>
        <w:t>MoA</w:t>
      </w:r>
      <w:proofErr w:type="spellEnd"/>
      <w:r>
        <w:rPr>
          <w:rFonts w:ascii="Times New Roman" w:eastAsia="Times New Roman" w:hAnsi="Times New Roman" w:cs="Times New Roman"/>
        </w:rPr>
        <w:t xml:space="preserve"> must contain the following six clauses:</w:t>
      </w:r>
    </w:p>
    <w:p w:rsidR="00D80A02" w:rsidRDefault="001A7F9F" w:rsidP="001A7F9F">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Name Clause: States the official name of the company. It must end with "Limited" (for public companies) or "Private Limited" (for private companies).</w:t>
      </w:r>
    </w:p>
    <w:p w:rsidR="00D80A02" w:rsidRDefault="001A7F9F">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Registered Office Clause: Mentions the state where the c</w:t>
      </w:r>
      <w:r>
        <w:rPr>
          <w:rFonts w:ascii="Times New Roman" w:eastAsia="Times New Roman" w:hAnsi="Times New Roman" w:cs="Times New Roman"/>
        </w:rPr>
        <w:t>ompany’s registered office is located. This determines the jurisdiction of the court and the Registrar of Companies (ROC).</w:t>
      </w:r>
    </w:p>
    <w:p w:rsidR="00D80A02" w:rsidRDefault="001A7F9F">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Object Clause: The most important clause; it defines the purpose for which the company is formed and the business activities it is au</w:t>
      </w:r>
      <w:r>
        <w:rPr>
          <w:rFonts w:ascii="Times New Roman" w:eastAsia="Times New Roman" w:hAnsi="Times New Roman" w:cs="Times New Roman"/>
        </w:rPr>
        <w:t>thorized to carry out.</w:t>
      </w:r>
    </w:p>
    <w:p w:rsidR="00D80A02" w:rsidRDefault="001A7F9F">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Liability Clause: States the extent of the members' liability—whether it is limited by shares, limited by guarantee, or unlimited.</w:t>
      </w:r>
    </w:p>
    <w:p w:rsidR="00D80A02" w:rsidRDefault="001A7F9F">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Capital Clause: Specifies the "Authorized Share Capital" (maximum amount of capital the company can ra</w:t>
      </w:r>
      <w:r>
        <w:rPr>
          <w:rFonts w:ascii="Times New Roman" w:eastAsia="Times New Roman" w:hAnsi="Times New Roman" w:cs="Times New Roman"/>
        </w:rPr>
        <w:t>ise) and how it is divided into shares of fixed amounts.</w:t>
      </w:r>
    </w:p>
    <w:p w:rsidR="00D80A02" w:rsidRDefault="001A7F9F">
      <w:pPr>
        <w:numPr>
          <w:ilvl w:val="0"/>
          <w:numId w:val="7"/>
        </w:numPr>
        <w:spacing w:after="280" w:line="240" w:lineRule="auto"/>
        <w:rPr>
          <w:rFonts w:ascii="Times New Roman" w:eastAsia="Times New Roman" w:hAnsi="Times New Roman" w:cs="Times New Roman"/>
        </w:rPr>
      </w:pPr>
      <w:r>
        <w:rPr>
          <w:rFonts w:ascii="Times New Roman" w:eastAsia="Times New Roman" w:hAnsi="Times New Roman" w:cs="Times New Roman"/>
        </w:rPr>
        <w:t>Association/Subscription Clause: Contains a declaration by the founders (subscribers) that they desire to form a company and agree to take a specific number of shares.</w:t>
      </w:r>
    </w:p>
    <w:p w:rsidR="00D80A02" w:rsidRPr="001A7F9F" w:rsidRDefault="001A7F9F">
      <w:pPr>
        <w:numPr>
          <w:ilvl w:val="0"/>
          <w:numId w:val="2"/>
        </w:numPr>
        <w:pBdr>
          <w:top w:val="nil"/>
          <w:left w:val="nil"/>
          <w:bottom w:val="nil"/>
          <w:right w:val="nil"/>
          <w:between w:val="nil"/>
        </w:pBdr>
        <w:spacing w:before="280" w:after="280" w:line="240" w:lineRule="auto"/>
        <w:rPr>
          <w:b/>
          <w:color w:val="000000"/>
        </w:rPr>
      </w:pPr>
      <w:r w:rsidRPr="001A7F9F">
        <w:rPr>
          <w:rFonts w:ascii="Times New Roman" w:eastAsia="Times New Roman" w:hAnsi="Times New Roman" w:cs="Times New Roman"/>
          <w:b/>
          <w:color w:val="000000"/>
        </w:rPr>
        <w:t>Characteristics of a Company</w:t>
      </w:r>
    </w:p>
    <w:p w:rsidR="00D80A02" w:rsidRDefault="001A7F9F">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A company is a unique legal structure with the following key features:</w:t>
      </w:r>
    </w:p>
    <w:p w:rsidR="00D80A02" w:rsidRPr="001A7F9F" w:rsidRDefault="001A7F9F" w:rsidP="001A7F9F">
      <w:pPr>
        <w:pStyle w:val="ListParagraph"/>
        <w:numPr>
          <w:ilvl w:val="0"/>
          <w:numId w:val="24"/>
        </w:numPr>
        <w:spacing w:before="280" w:after="0" w:line="240" w:lineRule="auto"/>
        <w:rPr>
          <w:rFonts w:ascii="Times New Roman" w:eastAsia="Times New Roman" w:hAnsi="Times New Roman" w:cs="Times New Roman"/>
        </w:rPr>
      </w:pPr>
      <w:r w:rsidRPr="001A7F9F">
        <w:rPr>
          <w:rFonts w:ascii="Times New Roman" w:eastAsia="Times New Roman" w:hAnsi="Times New Roman" w:cs="Times New Roman"/>
        </w:rPr>
        <w:t xml:space="preserve">Separate Legal Entity: The </w:t>
      </w:r>
      <w:proofErr w:type="gramStart"/>
      <w:r w:rsidRPr="001A7F9F">
        <w:rPr>
          <w:rFonts w:ascii="Times New Roman" w:eastAsia="Times New Roman" w:hAnsi="Times New Roman" w:cs="Times New Roman"/>
        </w:rPr>
        <w:t>company</w:t>
      </w:r>
      <w:proofErr w:type="gramEnd"/>
      <w:r w:rsidRPr="001A7F9F">
        <w:rPr>
          <w:rFonts w:ascii="Times New Roman" w:eastAsia="Times New Roman" w:hAnsi="Times New Roman" w:cs="Times New Roman"/>
        </w:rPr>
        <w:t xml:space="preserve"> is a "person" in the eyes of the law, distinct from its owners. It can own property, sign contracts, and sue or be sued in its own name.</w:t>
      </w:r>
    </w:p>
    <w:p w:rsidR="00D80A02" w:rsidRPr="001A7F9F" w:rsidRDefault="001A7F9F" w:rsidP="001A7F9F">
      <w:pPr>
        <w:pStyle w:val="ListParagraph"/>
        <w:numPr>
          <w:ilvl w:val="0"/>
          <w:numId w:val="24"/>
        </w:numPr>
        <w:spacing w:after="0" w:line="240" w:lineRule="auto"/>
        <w:rPr>
          <w:rFonts w:ascii="Times New Roman" w:eastAsia="Times New Roman" w:hAnsi="Times New Roman" w:cs="Times New Roman"/>
        </w:rPr>
      </w:pPr>
      <w:r w:rsidRPr="001A7F9F">
        <w:rPr>
          <w:rFonts w:ascii="Times New Roman" w:eastAsia="Times New Roman" w:hAnsi="Times New Roman" w:cs="Times New Roman"/>
        </w:rPr>
        <w:t>Limited Liabi</w:t>
      </w:r>
      <w:r w:rsidRPr="001A7F9F">
        <w:rPr>
          <w:rFonts w:ascii="Times New Roman" w:eastAsia="Times New Roman" w:hAnsi="Times New Roman" w:cs="Times New Roman"/>
        </w:rPr>
        <w:t>lity: The personal assets of shareholders are protected. Their liability is limited only to the unpaid amount on the shares they hold.</w:t>
      </w:r>
    </w:p>
    <w:p w:rsidR="00D80A02" w:rsidRPr="001A7F9F" w:rsidRDefault="001A7F9F" w:rsidP="001A7F9F">
      <w:pPr>
        <w:pStyle w:val="ListParagraph"/>
        <w:numPr>
          <w:ilvl w:val="0"/>
          <w:numId w:val="24"/>
        </w:numPr>
        <w:spacing w:after="0" w:line="240" w:lineRule="auto"/>
        <w:rPr>
          <w:rFonts w:ascii="Times New Roman" w:eastAsia="Times New Roman" w:hAnsi="Times New Roman" w:cs="Times New Roman"/>
        </w:rPr>
      </w:pPr>
      <w:r w:rsidRPr="001A7F9F">
        <w:rPr>
          <w:rFonts w:ascii="Times New Roman" w:eastAsia="Times New Roman" w:hAnsi="Times New Roman" w:cs="Times New Roman"/>
        </w:rPr>
        <w:lastRenderedPageBreak/>
        <w:t>Perpetual Succession: A company never "dies" due to the death or departure of its members. It continues to exist until it</w:t>
      </w:r>
      <w:r w:rsidRPr="001A7F9F">
        <w:rPr>
          <w:rFonts w:ascii="Times New Roman" w:eastAsia="Times New Roman" w:hAnsi="Times New Roman" w:cs="Times New Roman"/>
        </w:rPr>
        <w:t xml:space="preserve"> is legally dissolved (liquidated).</w:t>
      </w:r>
    </w:p>
    <w:p w:rsidR="00D80A02" w:rsidRPr="001A7F9F" w:rsidRDefault="001A7F9F" w:rsidP="001A7F9F">
      <w:pPr>
        <w:pStyle w:val="ListParagraph"/>
        <w:numPr>
          <w:ilvl w:val="0"/>
          <w:numId w:val="24"/>
        </w:numPr>
        <w:spacing w:after="0" w:line="240" w:lineRule="auto"/>
        <w:rPr>
          <w:rFonts w:ascii="Times New Roman" w:eastAsia="Times New Roman" w:hAnsi="Times New Roman" w:cs="Times New Roman"/>
        </w:rPr>
      </w:pPr>
      <w:r w:rsidRPr="001A7F9F">
        <w:rPr>
          <w:rFonts w:ascii="Times New Roman" w:eastAsia="Times New Roman" w:hAnsi="Times New Roman" w:cs="Times New Roman"/>
        </w:rPr>
        <w:t>Artificial Legal Person: It is created by law and acts through human agents (Directors), but it has rights and duties similar to a natural person.</w:t>
      </w:r>
    </w:p>
    <w:p w:rsidR="00D80A02" w:rsidRPr="001A7F9F" w:rsidRDefault="001A7F9F" w:rsidP="001A7F9F">
      <w:pPr>
        <w:pStyle w:val="ListParagraph"/>
        <w:numPr>
          <w:ilvl w:val="0"/>
          <w:numId w:val="24"/>
        </w:numPr>
        <w:spacing w:after="0" w:line="240" w:lineRule="auto"/>
        <w:rPr>
          <w:rFonts w:ascii="Times New Roman" w:eastAsia="Times New Roman" w:hAnsi="Times New Roman" w:cs="Times New Roman"/>
        </w:rPr>
      </w:pPr>
      <w:r w:rsidRPr="001A7F9F">
        <w:rPr>
          <w:rFonts w:ascii="Times New Roman" w:eastAsia="Times New Roman" w:hAnsi="Times New Roman" w:cs="Times New Roman"/>
        </w:rPr>
        <w:t>Common Seal: Since it is an artificial person, it uses an official seal a</w:t>
      </w:r>
      <w:r w:rsidRPr="001A7F9F">
        <w:rPr>
          <w:rFonts w:ascii="Times New Roman" w:eastAsia="Times New Roman" w:hAnsi="Times New Roman" w:cs="Times New Roman"/>
        </w:rPr>
        <w:t>s its "signature" to authenticate legal documents (though this is now optional in many jurisdictions).</w:t>
      </w:r>
    </w:p>
    <w:p w:rsidR="00D80A02" w:rsidRPr="001A7F9F" w:rsidRDefault="001A7F9F" w:rsidP="001A7F9F">
      <w:pPr>
        <w:pStyle w:val="ListParagraph"/>
        <w:numPr>
          <w:ilvl w:val="0"/>
          <w:numId w:val="24"/>
        </w:numPr>
        <w:spacing w:after="280" w:line="240" w:lineRule="auto"/>
        <w:rPr>
          <w:rFonts w:ascii="Times New Roman" w:eastAsia="Times New Roman" w:hAnsi="Times New Roman" w:cs="Times New Roman"/>
        </w:rPr>
      </w:pPr>
      <w:r w:rsidRPr="001A7F9F">
        <w:rPr>
          <w:rFonts w:ascii="Times New Roman" w:eastAsia="Times New Roman" w:hAnsi="Times New Roman" w:cs="Times New Roman"/>
        </w:rPr>
        <w:t>Transferability of Shares: Ownership can be easily transferred by selling shares to others without affecting the company's daily operations.</w:t>
      </w:r>
    </w:p>
    <w:p w:rsidR="00D80A02" w:rsidRDefault="001A7F9F">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  </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Consumer protection laws (like the Consumer Protection Act, 2019) ensure compensation through the following mechanisms:</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Product Liability</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legal provision holds manufacturers, service providers, and sellers responsible for any harm caused by defecti</w:t>
      </w:r>
      <w:r>
        <w:rPr>
          <w:rFonts w:ascii="Times New Roman" w:eastAsia="Times New Roman" w:hAnsi="Times New Roman" w:cs="Times New Roman"/>
          <w:color w:val="000000"/>
        </w:rPr>
        <w:t>ve products or deficient services. "Harm" includes personal injury, property damage, or even mental agony.</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Strict Liability</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consumer does not need to prove negligence. If a product is defective and causes injury, the manufacturer is automatically li</w:t>
      </w:r>
      <w:r>
        <w:rPr>
          <w:rFonts w:ascii="Times New Roman" w:eastAsia="Times New Roman" w:hAnsi="Times New Roman" w:cs="Times New Roman"/>
          <w:color w:val="000000"/>
        </w:rPr>
        <w:t>able to pay damages.</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Three-Tier </w:t>
      </w:r>
      <w:proofErr w:type="spellStart"/>
      <w:r>
        <w:rPr>
          <w:rFonts w:ascii="Times New Roman" w:eastAsia="Times New Roman" w:hAnsi="Times New Roman" w:cs="Times New Roman"/>
        </w:rPr>
        <w:t>Redressal</w:t>
      </w:r>
      <w:proofErr w:type="spellEnd"/>
      <w:r>
        <w:rPr>
          <w:rFonts w:ascii="Times New Roman" w:eastAsia="Times New Roman" w:hAnsi="Times New Roman" w:cs="Times New Roman"/>
        </w:rPr>
        <w:t xml:space="preserve"> System</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Consumers can file claims for compensation based on the value of the loss:</w:t>
      </w:r>
    </w:p>
    <w:p w:rsidR="00D80A02" w:rsidRPr="001A7F9F" w:rsidRDefault="001A7F9F" w:rsidP="001A7F9F">
      <w:pPr>
        <w:pStyle w:val="ListParagraph"/>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 xml:space="preserve">District Commission: Up to ₹1 </w:t>
      </w:r>
      <w:proofErr w:type="spellStart"/>
      <w:r w:rsidRPr="001A7F9F">
        <w:rPr>
          <w:rFonts w:ascii="Times New Roman" w:eastAsia="Times New Roman" w:hAnsi="Times New Roman" w:cs="Times New Roman"/>
          <w:color w:val="000000"/>
        </w:rPr>
        <w:t>Crore</w:t>
      </w:r>
      <w:proofErr w:type="spellEnd"/>
      <w:r w:rsidRPr="001A7F9F">
        <w:rPr>
          <w:rFonts w:ascii="Times New Roman" w:eastAsia="Times New Roman" w:hAnsi="Times New Roman" w:cs="Times New Roman"/>
          <w:color w:val="000000"/>
        </w:rPr>
        <w:t>.</w:t>
      </w:r>
    </w:p>
    <w:p w:rsidR="00D80A02" w:rsidRPr="001A7F9F" w:rsidRDefault="001A7F9F" w:rsidP="001A7F9F">
      <w:pPr>
        <w:pStyle w:val="ListParagraph"/>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 xml:space="preserve">State Commission: ₹1 </w:t>
      </w:r>
      <w:proofErr w:type="spellStart"/>
      <w:r w:rsidRPr="001A7F9F">
        <w:rPr>
          <w:rFonts w:ascii="Times New Roman" w:eastAsia="Times New Roman" w:hAnsi="Times New Roman" w:cs="Times New Roman"/>
          <w:color w:val="000000"/>
        </w:rPr>
        <w:t>Crore</w:t>
      </w:r>
      <w:proofErr w:type="spellEnd"/>
      <w:r w:rsidRPr="001A7F9F">
        <w:rPr>
          <w:rFonts w:ascii="Times New Roman" w:eastAsia="Times New Roman" w:hAnsi="Times New Roman" w:cs="Times New Roman"/>
          <w:color w:val="000000"/>
        </w:rPr>
        <w:t xml:space="preserve"> to ₹10 </w:t>
      </w:r>
      <w:proofErr w:type="spellStart"/>
      <w:r w:rsidRPr="001A7F9F">
        <w:rPr>
          <w:rFonts w:ascii="Times New Roman" w:eastAsia="Times New Roman" w:hAnsi="Times New Roman" w:cs="Times New Roman"/>
          <w:color w:val="000000"/>
        </w:rPr>
        <w:t>Crores</w:t>
      </w:r>
      <w:proofErr w:type="spellEnd"/>
      <w:r w:rsidRPr="001A7F9F">
        <w:rPr>
          <w:rFonts w:ascii="Times New Roman" w:eastAsia="Times New Roman" w:hAnsi="Times New Roman" w:cs="Times New Roman"/>
          <w:color w:val="000000"/>
        </w:rPr>
        <w:t>.</w:t>
      </w:r>
    </w:p>
    <w:p w:rsidR="00D80A02" w:rsidRPr="001A7F9F" w:rsidRDefault="001A7F9F" w:rsidP="001A7F9F">
      <w:pPr>
        <w:pStyle w:val="ListParagraph"/>
        <w:numPr>
          <w:ilvl w:val="0"/>
          <w:numId w:val="25"/>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 xml:space="preserve">National Commission: Above ₹10 </w:t>
      </w:r>
      <w:proofErr w:type="spellStart"/>
      <w:r w:rsidRPr="001A7F9F">
        <w:rPr>
          <w:rFonts w:ascii="Times New Roman" w:eastAsia="Times New Roman" w:hAnsi="Times New Roman" w:cs="Times New Roman"/>
          <w:color w:val="000000"/>
        </w:rPr>
        <w:t>Crores</w:t>
      </w:r>
      <w:proofErr w:type="spellEnd"/>
      <w:r w:rsidRPr="001A7F9F">
        <w:rPr>
          <w:rFonts w:ascii="Times New Roman" w:eastAsia="Times New Roman" w:hAnsi="Times New Roman" w:cs="Times New Roman"/>
          <w:color w:val="000000"/>
        </w:rPr>
        <w:t>.</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 Types of Compensation Granted</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Consumer Commissions have the power to order:</w:t>
      </w:r>
    </w:p>
    <w:p w:rsidR="00D80A02" w:rsidRPr="001A7F9F" w:rsidRDefault="001A7F9F" w:rsidP="001A7F9F">
      <w:pPr>
        <w:pStyle w:val="ListParagraph"/>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Refunds: Return of the purchase price with interest.</w:t>
      </w:r>
    </w:p>
    <w:p w:rsidR="00D80A02" w:rsidRPr="001A7F9F" w:rsidRDefault="001A7F9F" w:rsidP="001A7F9F">
      <w:pPr>
        <w:pStyle w:val="ListParagraph"/>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Damages: Monetary payment for physical or financial loss.</w:t>
      </w:r>
    </w:p>
    <w:p w:rsidR="00D80A02" w:rsidRPr="001A7F9F" w:rsidRDefault="001A7F9F" w:rsidP="001A7F9F">
      <w:pPr>
        <w:pStyle w:val="ListParagraph"/>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Punitive Damages: Extra fines imposed on the company for gross</w:t>
      </w:r>
      <w:r w:rsidRPr="001A7F9F">
        <w:rPr>
          <w:rFonts w:ascii="Times New Roman" w:eastAsia="Times New Roman" w:hAnsi="Times New Roman" w:cs="Times New Roman"/>
          <w:color w:val="000000"/>
        </w:rPr>
        <w:t xml:space="preserve"> negligence to discourage future bad behavior.</w:t>
      </w:r>
    </w:p>
    <w:p w:rsidR="00D80A02" w:rsidRDefault="00D80A0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rsidR="00D80A02" w:rsidRDefault="001A7F9F">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 </w:t>
      </w:r>
    </w:p>
    <w:p w:rsidR="00D80A02" w:rsidRDefault="001A7F9F">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The Need: Why do we have it?</w:t>
      </w:r>
    </w:p>
    <w:p w:rsidR="00D80A02" w:rsidRDefault="001A7F9F">
      <w:pPr>
        <w:numPr>
          <w:ilvl w:val="0"/>
          <w:numId w:val="19"/>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Unique Crimes: Traditional laws don't cover digital acts like hacking, phishing, or spreading malware.</w:t>
      </w:r>
    </w:p>
    <w:p w:rsidR="00D80A02" w:rsidRDefault="001A7F9F">
      <w:pPr>
        <w:numPr>
          <w:ilvl w:val="0"/>
          <w:numId w:val="19"/>
        </w:numPr>
        <w:spacing w:after="0" w:line="240" w:lineRule="auto"/>
        <w:rPr>
          <w:rFonts w:ascii="Times New Roman" w:eastAsia="Times New Roman" w:hAnsi="Times New Roman" w:cs="Times New Roman"/>
        </w:rPr>
      </w:pPr>
      <w:r>
        <w:rPr>
          <w:rFonts w:ascii="Times New Roman" w:eastAsia="Times New Roman" w:hAnsi="Times New Roman" w:cs="Times New Roman"/>
        </w:rPr>
        <w:t>Borderless Threats: It allows different countries to work together to catch criminals operating across borders.</w:t>
      </w:r>
    </w:p>
    <w:p w:rsidR="00D80A02" w:rsidRDefault="001A7F9F">
      <w:pPr>
        <w:numPr>
          <w:ilvl w:val="0"/>
          <w:numId w:val="19"/>
        </w:numPr>
        <w:spacing w:after="240" w:line="240" w:lineRule="auto"/>
        <w:rPr>
          <w:rFonts w:ascii="Times New Roman" w:eastAsia="Times New Roman" w:hAnsi="Times New Roman" w:cs="Times New Roman"/>
        </w:rPr>
      </w:pPr>
      <w:r>
        <w:rPr>
          <w:rFonts w:ascii="Times New Roman" w:eastAsia="Times New Roman" w:hAnsi="Times New Roman" w:cs="Times New Roman"/>
        </w:rPr>
        <w:t xml:space="preserve">Rapid Change: As technology like AI and </w:t>
      </w:r>
      <w:proofErr w:type="spellStart"/>
      <w:r>
        <w:rPr>
          <w:rFonts w:ascii="Times New Roman" w:eastAsia="Times New Roman" w:hAnsi="Times New Roman" w:cs="Times New Roman"/>
        </w:rPr>
        <w:t>IoT</w:t>
      </w:r>
      <w:proofErr w:type="spellEnd"/>
      <w:r>
        <w:rPr>
          <w:rFonts w:ascii="Times New Roman" w:eastAsia="Times New Roman" w:hAnsi="Times New Roman" w:cs="Times New Roman"/>
        </w:rPr>
        <w:t xml:space="preserve"> grows, laws are needed to prevent new forms of digital exploitation.</w:t>
      </w:r>
    </w:p>
    <w:p w:rsidR="00D80A02" w:rsidRDefault="001A7F9F">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The Importance: What does it do</w:t>
      </w:r>
      <w:r>
        <w:rPr>
          <w:rFonts w:ascii="Times New Roman" w:eastAsia="Times New Roman" w:hAnsi="Times New Roman" w:cs="Times New Roman"/>
        </w:rPr>
        <w:t>?</w:t>
      </w:r>
    </w:p>
    <w:p w:rsidR="00D80A02" w:rsidRDefault="001A7F9F">
      <w:pPr>
        <w:numPr>
          <w:ilvl w:val="0"/>
          <w:numId w:val="1"/>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Protects Privacy: Ensures companies can't sell your personal data without permission.</w:t>
      </w:r>
    </w:p>
    <w:p w:rsidR="00D80A02" w:rsidRDefault="001A7F9F">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Validates E-Commerce: Makes digital signatures and online contracts legally binding, allowing online shopping and banking to exist safely.</w:t>
      </w:r>
    </w:p>
    <w:p w:rsidR="00D80A02" w:rsidRDefault="001A7F9F">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Prevents IP Theft: Protects software, music, and digital art from being pirated or stolen.</w:t>
      </w:r>
    </w:p>
    <w:p w:rsidR="00D80A02" w:rsidRDefault="001A7F9F">
      <w:pPr>
        <w:numPr>
          <w:ilvl w:val="0"/>
          <w:numId w:val="1"/>
        </w:numPr>
        <w:spacing w:after="240" w:line="240" w:lineRule="auto"/>
        <w:rPr>
          <w:rFonts w:ascii="Times New Roman" w:eastAsia="Times New Roman" w:hAnsi="Times New Roman" w:cs="Times New Roman"/>
        </w:rPr>
      </w:pPr>
      <w:r>
        <w:rPr>
          <w:rFonts w:ascii="Times New Roman" w:eastAsia="Times New Roman" w:hAnsi="Times New Roman" w:cs="Times New Roman"/>
        </w:rPr>
        <w:t>National Security: Shields a country's power grids, hospitals, and communication systems from cyber-terrorism.</w:t>
      </w:r>
    </w:p>
    <w:p w:rsidR="00D80A02" w:rsidRDefault="00D80A02">
      <w:pPr>
        <w:spacing w:after="0" w:line="240" w:lineRule="auto"/>
        <w:jc w:val="both"/>
        <w:rPr>
          <w:rFonts w:ascii="Times New Roman" w:eastAsia="Times New Roman" w:hAnsi="Times New Roman" w:cs="Times New Roman"/>
        </w:rPr>
      </w:pPr>
    </w:p>
    <w:p w:rsidR="00D80A02" w:rsidRDefault="001A7F9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PART C</w:t>
      </w:r>
    </w:p>
    <w:p w:rsidR="00D80A02" w:rsidRDefault="001A7F9F">
      <w:pPr>
        <w:numPr>
          <w:ilvl w:val="0"/>
          <w:numId w:val="2"/>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rPr>
        <w:t xml:space="preserve"> </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Statement Explained</w:t>
      </w:r>
    </w:p>
    <w:p w:rsidR="00D80A02" w:rsidRPr="001A7F9F" w:rsidRDefault="001A7F9F" w:rsidP="001A7F9F">
      <w:pPr>
        <w:pStyle w:val="ListParagraph"/>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Agreement: Under Section 2(e), every promise and set of promises forming the consideration for each other is an agreement. In short: Agreement = Offer + Acceptance.</w:t>
      </w:r>
    </w:p>
    <w:p w:rsidR="00D80A02" w:rsidRPr="001A7F9F" w:rsidRDefault="001A7F9F" w:rsidP="001A7F9F">
      <w:pPr>
        <w:pStyle w:val="ListParagraph"/>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Contract: Under Section 2(h), an agreement enforceable by law is a contract. In short: Cont</w:t>
      </w:r>
      <w:r w:rsidRPr="001A7F9F">
        <w:rPr>
          <w:rFonts w:ascii="Times New Roman" w:eastAsia="Times New Roman" w:hAnsi="Times New Roman" w:cs="Times New Roman"/>
          <w:color w:val="000000"/>
        </w:rPr>
        <w:t>ract = Agreement + Legal Enforceability.</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Why all agreements are not contracts: Many agreements are social or domestic in nature (e.g., a father promising a gift to a son). These lack the "intention to create legal relations."</w:t>
      </w:r>
      <w:r>
        <w:rPr>
          <w:rFonts w:ascii="Times New Roman" w:eastAsia="Times New Roman" w:hAnsi="Times New Roman" w:cs="Times New Roman"/>
          <w:color w:val="000000"/>
        </w:rPr>
        <w:t xml:space="preserve"> If one party fails to keep their promise, the other cannot go to court. Therefore, they remain mere agreements and never become contracts</w:t>
      </w:r>
    </w:p>
    <w:p w:rsidR="00D80A02" w:rsidRDefault="001A7F9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Essential Elements of a Valid Contract (Section 10)</w:t>
      </w:r>
    </w:p>
    <w:p w:rsidR="00D80A02" w:rsidRDefault="001A7F9F">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an agreement to be "enforceable by law" and thus become a val</w:t>
      </w:r>
      <w:r>
        <w:rPr>
          <w:rFonts w:ascii="Times New Roman" w:eastAsia="Times New Roman" w:hAnsi="Times New Roman" w:cs="Times New Roman"/>
          <w:color w:val="000000"/>
        </w:rPr>
        <w:t>id contract, it must satisfy the following elements under Section 10:</w:t>
      </w:r>
    </w:p>
    <w:p w:rsidR="00D80A02" w:rsidRDefault="001A7F9F">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Free Consent: The parties must agree to the same thing in the same sense (</w:t>
      </w:r>
      <w:r>
        <w:rPr>
          <w:rFonts w:ascii="Times New Roman" w:eastAsia="Times New Roman" w:hAnsi="Times New Roman" w:cs="Times New Roman"/>
          <w:i/>
          <w:iCs/>
          <w:color w:val="000000"/>
        </w:rPr>
        <w:t>Consensus-ad-idem</w:t>
      </w:r>
      <w:r>
        <w:rPr>
          <w:rFonts w:ascii="Times New Roman" w:eastAsia="Times New Roman" w:hAnsi="Times New Roman" w:cs="Times New Roman"/>
          <w:color w:val="000000"/>
        </w:rPr>
        <w:t>). Consent is not free if obtained by coercion, undue influence, fraud, misrepresentation, or m</w:t>
      </w:r>
      <w:r>
        <w:rPr>
          <w:rFonts w:ascii="Times New Roman" w:eastAsia="Times New Roman" w:hAnsi="Times New Roman" w:cs="Times New Roman"/>
          <w:color w:val="000000"/>
        </w:rPr>
        <w:t>istake.</w:t>
      </w:r>
    </w:p>
    <w:p w:rsidR="00D80A02" w:rsidRDefault="001A7F9F">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Competency of Parties: The parties must be legally capable of entering a contract. This means they must be:</w:t>
      </w:r>
    </w:p>
    <w:p w:rsidR="00D80A02" w:rsidRPr="001A7F9F" w:rsidRDefault="001A7F9F" w:rsidP="001A7F9F">
      <w:pPr>
        <w:pStyle w:val="ListParagraph"/>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Of the age of majority (18+ years).</w:t>
      </w:r>
    </w:p>
    <w:p w:rsidR="00D80A02" w:rsidRPr="001A7F9F" w:rsidRDefault="001A7F9F" w:rsidP="001A7F9F">
      <w:pPr>
        <w:pStyle w:val="ListParagraph"/>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Of sound mind.</w:t>
      </w:r>
    </w:p>
    <w:p w:rsidR="00D80A02" w:rsidRPr="001A7F9F" w:rsidRDefault="001A7F9F" w:rsidP="001A7F9F">
      <w:pPr>
        <w:pStyle w:val="ListParagraph"/>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color w:val="000000"/>
        </w:rPr>
        <w:t>Not disqualified by any law (e.g., not an insolvent).</w:t>
      </w:r>
    </w:p>
    <w:p w:rsidR="00D80A02" w:rsidRDefault="001A7F9F">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Lawful Consideration: There must be</w:t>
      </w:r>
      <w:r>
        <w:rPr>
          <w:rFonts w:ascii="Times New Roman" w:eastAsia="Times New Roman" w:hAnsi="Times New Roman" w:cs="Times New Roman"/>
          <w:color w:val="000000"/>
        </w:rPr>
        <w:t xml:space="preserve"> "something in return" (</w:t>
      </w:r>
      <w:r>
        <w:rPr>
          <w:rFonts w:ascii="Times New Roman" w:eastAsia="Times New Roman" w:hAnsi="Times New Roman" w:cs="Times New Roman"/>
          <w:i/>
          <w:iCs/>
          <w:color w:val="000000"/>
        </w:rPr>
        <w:t>Quid Pro Quo</w:t>
      </w:r>
      <w:r>
        <w:rPr>
          <w:rFonts w:ascii="Times New Roman" w:eastAsia="Times New Roman" w:hAnsi="Times New Roman" w:cs="Times New Roman"/>
          <w:color w:val="000000"/>
        </w:rPr>
        <w:t>). This consideration must be real and legal.</w:t>
      </w:r>
    </w:p>
    <w:p w:rsidR="00D80A02" w:rsidRDefault="001A7F9F">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Lawful Object: The purpose of the agreement must not be illegal, immoral, or opposed to public policy (e.g., an agreement to commit a crime is void).</w:t>
      </w:r>
    </w:p>
    <w:p w:rsidR="00D80A02" w:rsidRDefault="001A7F9F">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Not Expressly Declared Void: The agreement must not fall into categories specifically declared void by the Act, such as agreements in restraint of trade or marriage.</w:t>
      </w:r>
    </w:p>
    <w:p w:rsidR="00D80A02" w:rsidRDefault="00D80A02">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rsidR="00D80A02" w:rsidRDefault="00D80A02">
      <w:pPr>
        <w:numPr>
          <w:ilvl w:val="0"/>
          <w:numId w:val="2"/>
        </w:numPr>
        <w:pBdr>
          <w:top w:val="nil"/>
          <w:left w:val="nil"/>
          <w:bottom w:val="nil"/>
          <w:right w:val="nil"/>
          <w:between w:val="nil"/>
        </w:pBdr>
        <w:spacing w:line="240" w:lineRule="auto"/>
        <w:rPr>
          <w:color w:val="000000"/>
        </w:rPr>
      </w:pP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 xml:space="preserve">Ways </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Agency Relationship is created</w:t>
      </w:r>
    </w:p>
    <w:p w:rsidR="00D80A02" w:rsidRDefault="001A7F9F">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There are five primary modes of creating an agency relationship:</w:t>
      </w:r>
    </w:p>
    <w:p w:rsidR="00D80A02" w:rsidRDefault="001A7F9F">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By Express Agreement (Sec. 187): The most common way. The principal appoints the agent through spoken words or in writing. </w:t>
      </w:r>
      <w:r>
        <w:rPr>
          <w:rFonts w:ascii="Times New Roman" w:eastAsia="Times New Roman" w:hAnsi="Times New Roman" w:cs="Times New Roman"/>
          <w:i/>
          <w:iCs/>
          <w:color w:val="000000"/>
        </w:rPr>
        <w:t>Example:</w:t>
      </w:r>
      <w:r>
        <w:rPr>
          <w:rFonts w:ascii="Times New Roman" w:eastAsia="Times New Roman" w:hAnsi="Times New Roman" w:cs="Times New Roman"/>
          <w:color w:val="000000"/>
        </w:rPr>
        <w:t xml:space="preserve"> A written "Power of Attorney" document.</w:t>
      </w:r>
    </w:p>
    <w:p w:rsidR="00D80A02" w:rsidRDefault="001A7F9F">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By Implied Agreemen</w:t>
      </w:r>
      <w:r>
        <w:rPr>
          <w:rFonts w:ascii="Times New Roman" w:eastAsia="Times New Roman" w:hAnsi="Times New Roman" w:cs="Times New Roman"/>
          <w:color w:val="000000"/>
        </w:rPr>
        <w:t xml:space="preserve">t (Sec. 187): Created by the conduct of the parties or the circumstances of the case. </w:t>
      </w:r>
      <w:r>
        <w:rPr>
          <w:rFonts w:ascii="Times New Roman" w:eastAsia="Times New Roman" w:hAnsi="Times New Roman" w:cs="Times New Roman"/>
          <w:i/>
          <w:iCs/>
          <w:color w:val="000000"/>
        </w:rPr>
        <w:t>Example:</w:t>
      </w:r>
      <w:r>
        <w:rPr>
          <w:rFonts w:ascii="Times New Roman" w:eastAsia="Times New Roman" w:hAnsi="Times New Roman" w:cs="Times New Roman"/>
          <w:color w:val="000000"/>
        </w:rPr>
        <w:t xml:space="preserve"> A owns a shop in a different city and B manages it. A's conduct implies that B is his agent.</w:t>
      </w:r>
    </w:p>
    <w:p w:rsidR="00D80A02" w:rsidRDefault="001A7F9F">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color w:val="000000"/>
        </w:rPr>
        <w:t>By Ratification (Sec. 196–200): When someone acts on behalf of a pri</w:t>
      </w:r>
      <w:r>
        <w:rPr>
          <w:rFonts w:ascii="Times New Roman" w:eastAsia="Times New Roman" w:hAnsi="Times New Roman" w:cs="Times New Roman"/>
          <w:color w:val="000000"/>
        </w:rPr>
        <w:t xml:space="preserve">ncipal without prior authority, but the principal later approves (ratifies) the act. </w:t>
      </w:r>
      <w:r>
        <w:rPr>
          <w:rFonts w:ascii="Times New Roman" w:eastAsia="Times New Roman" w:hAnsi="Times New Roman" w:cs="Times New Roman"/>
          <w:i/>
          <w:iCs/>
          <w:color w:val="000000"/>
        </w:rPr>
        <w:t>Effect:</w:t>
      </w:r>
      <w:r>
        <w:rPr>
          <w:rFonts w:ascii="Times New Roman" w:eastAsia="Times New Roman" w:hAnsi="Times New Roman" w:cs="Times New Roman"/>
          <w:color w:val="000000"/>
        </w:rPr>
        <w:t xml:space="preserve"> It relates back to the date the act was done, making it as if the person had authority from the start.</w:t>
      </w:r>
    </w:p>
    <w:p w:rsidR="00D80A02" w:rsidRDefault="001A7F9F">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color w:val="000000"/>
        </w:rPr>
        <w:t>By Necessity (Sec. 189): Arises in emergencies where it is i</w:t>
      </w:r>
      <w:r>
        <w:rPr>
          <w:rFonts w:ascii="Times New Roman" w:eastAsia="Times New Roman" w:hAnsi="Times New Roman" w:cs="Times New Roman"/>
          <w:color w:val="000000"/>
        </w:rPr>
        <w:t xml:space="preserve">mpossible to communicate with the principal and the agent must act to save the principal's property from loss. </w:t>
      </w:r>
      <w:r>
        <w:rPr>
          <w:rFonts w:ascii="Times New Roman" w:eastAsia="Times New Roman" w:hAnsi="Times New Roman" w:cs="Times New Roman"/>
          <w:i/>
          <w:iCs/>
          <w:color w:val="000000"/>
        </w:rPr>
        <w:t>Example:</w:t>
      </w:r>
      <w:r>
        <w:rPr>
          <w:rFonts w:ascii="Times New Roman" w:eastAsia="Times New Roman" w:hAnsi="Times New Roman" w:cs="Times New Roman"/>
          <w:color w:val="000000"/>
        </w:rPr>
        <w:t xml:space="preserve"> shipmaster borrowing money to repair a ship in a foreign port to save the cargo.</w:t>
      </w:r>
    </w:p>
    <w:p w:rsidR="00D80A02" w:rsidRDefault="001A7F9F">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color w:val="000000"/>
        </w:rPr>
        <w:t>By Estoppel (Sec. 237): If a principal leads a third pa</w:t>
      </w:r>
      <w:r>
        <w:rPr>
          <w:rFonts w:ascii="Times New Roman" w:eastAsia="Times New Roman" w:hAnsi="Times New Roman" w:cs="Times New Roman"/>
          <w:color w:val="000000"/>
        </w:rPr>
        <w:t>rty to believe that someone is their agent (even if they aren't), the principal cannot later deny the agency.</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Different Kinds of Agents</w:t>
      </w:r>
    </w:p>
    <w:p w:rsidR="00D80A02" w:rsidRDefault="001A7F9F">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Agents are classified based on the extent of their authority or the nature of their work.</w:t>
      </w:r>
      <w:r>
        <w:rPr>
          <w:rFonts w:ascii="Times New Roman" w:eastAsia="Times New Roman" w:hAnsi="Times New Roman" w:cs="Times New Roman"/>
          <w:color w:val="000000"/>
          <w:vertAlign w:val="superscript"/>
        </w:rPr>
        <w:t>11</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A. Based on Extent of Authority</w:t>
      </w:r>
    </w:p>
    <w:tbl>
      <w:tblPr>
        <w:tblStyle w:val="a0"/>
        <w:tblW w:w="9480" w:type="dxa"/>
        <w:tblInd w:w="-15" w:type="dxa"/>
        <w:tblLayout w:type="fixed"/>
        <w:tblLook w:val="0400" w:firstRow="0" w:lastRow="0" w:firstColumn="0" w:lastColumn="0" w:noHBand="0" w:noVBand="1"/>
      </w:tblPr>
      <w:tblGrid>
        <w:gridCol w:w="1559"/>
        <w:gridCol w:w="7921"/>
      </w:tblGrid>
      <w:tr w:rsidR="00D80A02">
        <w:tc>
          <w:tcPr>
            <w:tcW w:w="1559"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0" w:line="240" w:lineRule="auto"/>
              <w:rPr>
                <w:rFonts w:ascii="Times New Roman" w:eastAsia="Times New Roman" w:hAnsi="Times New Roman" w:cs="Times New Roman"/>
              </w:rPr>
            </w:pPr>
            <w:r>
              <w:rPr>
                <w:rFonts w:ascii="Times New Roman" w:eastAsia="Times New Roman" w:hAnsi="Times New Roman" w:cs="Times New Roman"/>
              </w:rPr>
              <w:t>Special Agent</w:t>
            </w:r>
          </w:p>
        </w:tc>
        <w:tc>
          <w:tcPr>
            <w:tcW w:w="7921"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0" w:line="240" w:lineRule="auto"/>
              <w:rPr>
                <w:rFonts w:ascii="Times New Roman" w:eastAsia="Times New Roman" w:hAnsi="Times New Roman" w:cs="Times New Roman"/>
              </w:rPr>
            </w:pPr>
            <w:r>
              <w:rPr>
                <w:rFonts w:ascii="Times New Roman" w:eastAsia="Times New Roman" w:hAnsi="Times New Roman" w:cs="Times New Roman"/>
              </w:rPr>
              <w:t>Appointed to perform a single, specific act or transaction (e.g., an agent hired only to sell one house).</w:t>
            </w:r>
          </w:p>
        </w:tc>
      </w:tr>
      <w:tr w:rsidR="00D80A02">
        <w:tc>
          <w:tcPr>
            <w:tcW w:w="1559"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0" w:line="240" w:lineRule="auto"/>
              <w:rPr>
                <w:rFonts w:ascii="Times New Roman" w:eastAsia="Times New Roman" w:hAnsi="Times New Roman" w:cs="Times New Roman"/>
              </w:rPr>
            </w:pPr>
            <w:r>
              <w:rPr>
                <w:rFonts w:ascii="Times New Roman" w:eastAsia="Times New Roman" w:hAnsi="Times New Roman" w:cs="Times New Roman"/>
              </w:rPr>
              <w:t>General Agent</w:t>
            </w:r>
          </w:p>
        </w:tc>
        <w:tc>
          <w:tcPr>
            <w:tcW w:w="7921"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0" w:line="240" w:lineRule="auto"/>
              <w:rPr>
                <w:rFonts w:ascii="Times New Roman" w:eastAsia="Times New Roman" w:hAnsi="Times New Roman" w:cs="Times New Roman"/>
              </w:rPr>
            </w:pPr>
            <w:r>
              <w:rPr>
                <w:rFonts w:ascii="Times New Roman" w:eastAsia="Times New Roman" w:hAnsi="Times New Roman" w:cs="Times New Roman"/>
              </w:rPr>
              <w:t>Authorized to perform all acts related to a particular business or trade (e.g., a branch manager).</w:t>
            </w:r>
          </w:p>
        </w:tc>
      </w:tr>
      <w:tr w:rsidR="00D80A02">
        <w:trPr>
          <w:trHeight w:val="423"/>
        </w:trPr>
        <w:tc>
          <w:tcPr>
            <w:tcW w:w="1559"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0" w:line="240" w:lineRule="auto"/>
              <w:rPr>
                <w:rFonts w:ascii="Times New Roman" w:eastAsia="Times New Roman" w:hAnsi="Times New Roman" w:cs="Times New Roman"/>
              </w:rPr>
            </w:pPr>
            <w:r>
              <w:rPr>
                <w:rFonts w:ascii="Times New Roman" w:eastAsia="Times New Roman" w:hAnsi="Times New Roman" w:cs="Times New Roman"/>
              </w:rPr>
              <w:t>Universal Agent</w:t>
            </w:r>
          </w:p>
        </w:tc>
        <w:tc>
          <w:tcPr>
            <w:tcW w:w="7921" w:type="dxa"/>
            <w:tcBorders>
              <w:top w:val="single" w:sz="6" w:space="0" w:color="000000"/>
              <w:left w:val="single" w:sz="6" w:space="0" w:color="000000"/>
              <w:bottom w:val="single" w:sz="6" w:space="0" w:color="000000"/>
              <w:right w:val="single" w:sz="6" w:space="0" w:color="000000"/>
            </w:tcBorders>
            <w:vAlign w:val="center"/>
          </w:tcPr>
          <w:p w:rsidR="00D80A02" w:rsidRDefault="001A7F9F">
            <w:pPr>
              <w:spacing w:after="0" w:line="240" w:lineRule="auto"/>
              <w:rPr>
                <w:rFonts w:ascii="Times New Roman" w:eastAsia="Times New Roman" w:hAnsi="Times New Roman" w:cs="Times New Roman"/>
              </w:rPr>
            </w:pPr>
            <w:r>
              <w:rPr>
                <w:rFonts w:ascii="Times New Roman" w:eastAsia="Times New Roman" w:hAnsi="Times New Roman" w:cs="Times New Roman"/>
              </w:rPr>
              <w:t>Has unlimited authority to do all acts that the principal could lawfully do (usually via broad Power of Attorney).</w:t>
            </w:r>
          </w:p>
        </w:tc>
      </w:tr>
    </w:tbl>
    <w:p w:rsidR="00D80A02" w:rsidRDefault="001A7F9F">
      <w:pPr>
        <w:spacing w:line="240" w:lineRule="auto"/>
        <w:jc w:val="both"/>
        <w:rPr>
          <w:rFonts w:ascii="Times New Roman" w:eastAsia="Times New Roman" w:hAnsi="Times New Roman" w:cs="Times New Roman"/>
        </w:rPr>
      </w:pPr>
      <w:r>
        <w:rPr>
          <w:rFonts w:ascii="Times New Roman" w:eastAsia="Times New Roman" w:hAnsi="Times New Roman" w:cs="Times New Roman"/>
        </w:rPr>
        <w:t>B. Based on Nature of Wo</w:t>
      </w:r>
      <w:r>
        <w:rPr>
          <w:rFonts w:ascii="Times New Roman" w:eastAsia="Times New Roman" w:hAnsi="Times New Roman" w:cs="Times New Roman"/>
        </w:rPr>
        <w:t>rk (Mercantile Agents)</w:t>
      </w:r>
    </w:p>
    <w:p w:rsidR="00D80A02" w:rsidRDefault="001A7F9F">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rPr>
        <w:t>Factor: An agent who has possession of the principal's goods and can sell them in their own name.</w:t>
      </w:r>
    </w:p>
    <w:p w:rsidR="00D80A02" w:rsidRDefault="001A7F9F">
      <w:pPr>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Broker: An intermediary who brings a buyer and seller together but never takes possession of the goods.</w:t>
      </w:r>
    </w:p>
    <w:p w:rsidR="00D80A02" w:rsidRDefault="001A7F9F">
      <w:pPr>
        <w:numPr>
          <w:ilvl w:val="0"/>
          <w:numId w:val="5"/>
        </w:numPr>
        <w:pBdr>
          <w:top w:val="nil"/>
          <w:left w:val="nil"/>
          <w:bottom w:val="nil"/>
          <w:right w:val="nil"/>
          <w:between w:val="nil"/>
        </w:pBdr>
        <w:spacing w:line="240" w:lineRule="auto"/>
        <w:jc w:val="both"/>
      </w:pPr>
      <w:r>
        <w:rPr>
          <w:rFonts w:ascii="Times New Roman" w:eastAsia="Times New Roman" w:hAnsi="Times New Roman" w:cs="Times New Roman"/>
          <w:color w:val="000000"/>
        </w:rPr>
        <w:t>Auctioneer: An agent appointed to sell goods through public bidding.</w:t>
      </w:r>
    </w:p>
    <w:p w:rsidR="00D80A02" w:rsidRDefault="001A7F9F">
      <w:pPr>
        <w:numPr>
          <w:ilvl w:val="0"/>
          <w:numId w:val="5"/>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Del </w:t>
      </w:r>
      <w:proofErr w:type="spellStart"/>
      <w:r>
        <w:rPr>
          <w:rFonts w:ascii="Times New Roman" w:eastAsia="Times New Roman" w:hAnsi="Times New Roman" w:cs="Times New Roman"/>
          <w:color w:val="000000"/>
        </w:rPr>
        <w:t>Credere</w:t>
      </w:r>
      <w:proofErr w:type="spellEnd"/>
      <w:r>
        <w:rPr>
          <w:rFonts w:ascii="Times New Roman" w:eastAsia="Times New Roman" w:hAnsi="Times New Roman" w:cs="Times New Roman"/>
          <w:color w:val="000000"/>
        </w:rPr>
        <w:t xml:space="preserve"> Agent: An agent who, for an extra commission, guarantees that the third party will pay. If the third party defaults, the agent is liable.</w:t>
      </w:r>
    </w:p>
    <w:p w:rsidR="00D80A02" w:rsidRDefault="001A7F9F">
      <w:pPr>
        <w:numPr>
          <w:ilvl w:val="0"/>
          <w:numId w:val="5"/>
        </w:numPr>
        <w:pBdr>
          <w:top w:val="nil"/>
          <w:left w:val="nil"/>
          <w:bottom w:val="nil"/>
          <w:right w:val="nil"/>
          <w:between w:val="nil"/>
        </w:pBdr>
        <w:spacing w:line="240" w:lineRule="auto"/>
        <w:jc w:val="both"/>
      </w:pPr>
      <w:r>
        <w:rPr>
          <w:rFonts w:ascii="Times New Roman" w:eastAsia="Times New Roman" w:hAnsi="Times New Roman" w:cs="Times New Roman"/>
          <w:color w:val="000000"/>
        </w:rPr>
        <w:t>Commission Agent: Appointed to buy or</w:t>
      </w:r>
      <w:r>
        <w:rPr>
          <w:rFonts w:ascii="Times New Roman" w:eastAsia="Times New Roman" w:hAnsi="Times New Roman" w:cs="Times New Roman"/>
          <w:color w:val="000000"/>
        </w:rPr>
        <w:t xml:space="preserve"> sell goods in a foreign market for a commission.</w:t>
      </w:r>
    </w:p>
    <w:p w:rsidR="00D80A02" w:rsidRDefault="001A7F9F">
      <w:pPr>
        <w:spacing w:line="240" w:lineRule="auto"/>
        <w:jc w:val="both"/>
        <w:rPr>
          <w:rFonts w:ascii="Times New Roman" w:eastAsia="Times New Roman" w:hAnsi="Times New Roman" w:cs="Times New Roman"/>
        </w:rPr>
      </w:pPr>
      <w:r>
        <w:rPr>
          <w:rFonts w:ascii="Times New Roman" w:eastAsia="Times New Roman" w:hAnsi="Times New Roman" w:cs="Times New Roman"/>
        </w:rPr>
        <w:t>C. Other Special Types</w:t>
      </w:r>
    </w:p>
    <w:p w:rsidR="00D80A02" w:rsidRDefault="001A7F9F" w:rsidP="001A7F9F">
      <w:pPr>
        <w:pStyle w:val="ListParagraph"/>
        <w:numPr>
          <w:ilvl w:val="0"/>
          <w:numId w:val="29"/>
        </w:numPr>
        <w:pBdr>
          <w:top w:val="nil"/>
          <w:left w:val="nil"/>
          <w:bottom w:val="nil"/>
          <w:right w:val="nil"/>
          <w:between w:val="nil"/>
        </w:pBdr>
        <w:spacing w:after="0" w:line="240" w:lineRule="auto"/>
        <w:jc w:val="both"/>
      </w:pPr>
      <w:r w:rsidRPr="001A7F9F">
        <w:rPr>
          <w:rFonts w:ascii="Times New Roman" w:eastAsia="Times New Roman" w:hAnsi="Times New Roman" w:cs="Times New Roman"/>
          <w:color w:val="000000"/>
        </w:rPr>
        <w:t>Sub-Agent: An agent appointed by the original agent to assist in the agency business (acting under the agent's control).</w:t>
      </w:r>
    </w:p>
    <w:p w:rsidR="00D80A02" w:rsidRDefault="001A7F9F" w:rsidP="001A7F9F">
      <w:pPr>
        <w:pStyle w:val="ListParagraph"/>
        <w:numPr>
          <w:ilvl w:val="0"/>
          <w:numId w:val="29"/>
        </w:numPr>
        <w:pBdr>
          <w:top w:val="nil"/>
          <w:left w:val="nil"/>
          <w:bottom w:val="nil"/>
          <w:right w:val="nil"/>
          <w:between w:val="nil"/>
        </w:pBdr>
        <w:spacing w:line="240" w:lineRule="auto"/>
        <w:jc w:val="both"/>
      </w:pPr>
      <w:r w:rsidRPr="001A7F9F">
        <w:rPr>
          <w:rFonts w:ascii="Times New Roman" w:eastAsia="Times New Roman" w:hAnsi="Times New Roman" w:cs="Times New Roman"/>
          <w:color w:val="000000"/>
        </w:rPr>
        <w:t>Substituted Agent: An agent named by the original agent to act</w:t>
      </w:r>
      <w:r w:rsidRPr="001A7F9F">
        <w:rPr>
          <w:rFonts w:ascii="Times New Roman" w:eastAsia="Times New Roman" w:hAnsi="Times New Roman" w:cs="Times New Roman"/>
          <w:color w:val="000000"/>
        </w:rPr>
        <w:t xml:space="preserve"> for the principal (acting under the principal's direct control).</w:t>
      </w:r>
    </w:p>
    <w:p w:rsidR="00D80A02" w:rsidRDefault="001A7F9F">
      <w:pPr>
        <w:numPr>
          <w:ilvl w:val="0"/>
          <w:numId w:val="2"/>
        </w:numPr>
        <w:pBdr>
          <w:top w:val="nil"/>
          <w:left w:val="nil"/>
          <w:bottom w:val="nil"/>
          <w:right w:val="nil"/>
          <w:between w:val="nil"/>
        </w:pBdr>
        <w:spacing w:line="240" w:lineRule="auto"/>
        <w:jc w:val="both"/>
      </w:pPr>
      <w:r>
        <w:rPr>
          <w:rFonts w:ascii="Times New Roman" w:eastAsia="Times New Roman" w:hAnsi="Times New Roman" w:cs="Times New Roman"/>
          <w:color w:val="000000"/>
        </w:rPr>
        <w:t xml:space="preserve">  </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Winding Up: Definition</w:t>
      </w:r>
    </w:p>
    <w:p w:rsidR="00D80A02" w:rsidRDefault="001A7F9F">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Winding up is the legal process of closing a company. It involves selling off assets, paying off creditors, and distributing any remaining funds to shareholders. Once finalized, the company is dissolved and ceases to exist.</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Circumstances for Winding Up</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Compulsory Winding Up (By the Tribunal/NCLT)</w:t>
      </w:r>
    </w:p>
    <w:p w:rsidR="00D80A02" w:rsidRDefault="001A7F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court orders the closure if:</w:t>
      </w:r>
    </w:p>
    <w:p w:rsidR="00D80A02" w:rsidRDefault="001A7F9F" w:rsidP="001A7F9F">
      <w:pPr>
        <w:pStyle w:val="ListParagraph"/>
        <w:numPr>
          <w:ilvl w:val="0"/>
          <w:numId w:val="30"/>
        </w:numPr>
        <w:pBdr>
          <w:top w:val="nil"/>
          <w:left w:val="nil"/>
          <w:bottom w:val="nil"/>
          <w:right w:val="nil"/>
          <w:between w:val="nil"/>
        </w:pBdr>
        <w:spacing w:after="0" w:line="240" w:lineRule="auto"/>
      </w:pPr>
      <w:r w:rsidRPr="001A7F9F">
        <w:rPr>
          <w:rFonts w:ascii="Times New Roman" w:eastAsia="Times New Roman" w:hAnsi="Times New Roman" w:cs="Times New Roman"/>
          <w:color w:val="000000"/>
        </w:rPr>
        <w:t>Special Resolution: The company decides by a 75% vote to be wound up by the Tribunal.</w:t>
      </w:r>
    </w:p>
    <w:p w:rsidR="00D80A02" w:rsidRDefault="001A7F9F" w:rsidP="001A7F9F">
      <w:pPr>
        <w:pStyle w:val="ListParagraph"/>
        <w:numPr>
          <w:ilvl w:val="0"/>
          <w:numId w:val="30"/>
        </w:numPr>
        <w:pBdr>
          <w:top w:val="nil"/>
          <w:left w:val="nil"/>
          <w:bottom w:val="nil"/>
          <w:right w:val="nil"/>
          <w:between w:val="nil"/>
        </w:pBdr>
        <w:spacing w:line="240" w:lineRule="auto"/>
      </w:pPr>
      <w:r w:rsidRPr="001A7F9F">
        <w:rPr>
          <w:rFonts w:ascii="Times New Roman" w:eastAsia="Times New Roman" w:hAnsi="Times New Roman" w:cs="Times New Roman"/>
          <w:color w:val="000000"/>
        </w:rPr>
        <w:t xml:space="preserve">National Interest: The </w:t>
      </w:r>
      <w:proofErr w:type="gramStart"/>
      <w:r w:rsidRPr="001A7F9F">
        <w:rPr>
          <w:rFonts w:ascii="Times New Roman" w:eastAsia="Times New Roman" w:hAnsi="Times New Roman" w:cs="Times New Roman"/>
          <w:color w:val="000000"/>
        </w:rPr>
        <w:t>company</w:t>
      </w:r>
      <w:proofErr w:type="gramEnd"/>
      <w:r w:rsidRPr="001A7F9F">
        <w:rPr>
          <w:rFonts w:ascii="Times New Roman" w:eastAsia="Times New Roman" w:hAnsi="Times New Roman" w:cs="Times New Roman"/>
          <w:color w:val="000000"/>
        </w:rPr>
        <w:t xml:space="preserve"> acts against India’s sovereignty, integrity, or security.</w:t>
      </w:r>
    </w:p>
    <w:p w:rsidR="00D80A02" w:rsidRDefault="001A7F9F" w:rsidP="001A7F9F">
      <w:pPr>
        <w:pStyle w:val="ListParagraph"/>
        <w:numPr>
          <w:ilvl w:val="0"/>
          <w:numId w:val="30"/>
        </w:numPr>
        <w:pBdr>
          <w:top w:val="nil"/>
          <w:left w:val="nil"/>
          <w:bottom w:val="nil"/>
          <w:right w:val="nil"/>
          <w:between w:val="nil"/>
        </w:pBdr>
        <w:spacing w:line="240" w:lineRule="auto"/>
      </w:pPr>
      <w:r w:rsidRPr="001A7F9F">
        <w:rPr>
          <w:rFonts w:ascii="Times New Roman" w:eastAsia="Times New Roman" w:hAnsi="Times New Roman" w:cs="Times New Roman"/>
          <w:color w:val="000000"/>
        </w:rPr>
        <w:t>Fraud: The business is conducted for illegal or fraudulent purposes.</w:t>
      </w:r>
    </w:p>
    <w:p w:rsidR="00D80A02" w:rsidRDefault="001A7F9F" w:rsidP="001A7F9F">
      <w:pPr>
        <w:pStyle w:val="ListParagraph"/>
        <w:numPr>
          <w:ilvl w:val="0"/>
          <w:numId w:val="30"/>
        </w:numPr>
        <w:pBdr>
          <w:top w:val="nil"/>
          <w:left w:val="nil"/>
          <w:bottom w:val="nil"/>
          <w:right w:val="nil"/>
          <w:between w:val="nil"/>
        </w:pBdr>
        <w:spacing w:line="240" w:lineRule="auto"/>
      </w:pPr>
      <w:r w:rsidRPr="001A7F9F">
        <w:rPr>
          <w:rFonts w:ascii="Times New Roman" w:eastAsia="Times New Roman" w:hAnsi="Times New Roman" w:cs="Times New Roman"/>
          <w:color w:val="000000"/>
        </w:rPr>
        <w:t xml:space="preserve">Filing Default: The </w:t>
      </w:r>
      <w:proofErr w:type="gramStart"/>
      <w:r w:rsidRPr="001A7F9F">
        <w:rPr>
          <w:rFonts w:ascii="Times New Roman" w:eastAsia="Times New Roman" w:hAnsi="Times New Roman" w:cs="Times New Roman"/>
          <w:color w:val="000000"/>
        </w:rPr>
        <w:t>company</w:t>
      </w:r>
      <w:proofErr w:type="gramEnd"/>
      <w:r w:rsidRPr="001A7F9F">
        <w:rPr>
          <w:rFonts w:ascii="Times New Roman" w:eastAsia="Times New Roman" w:hAnsi="Times New Roman" w:cs="Times New Roman"/>
          <w:color w:val="000000"/>
        </w:rPr>
        <w:t xml:space="preserve"> fails to file financial statements or annual returns for five consecutive years.</w:t>
      </w:r>
    </w:p>
    <w:p w:rsidR="00D80A02" w:rsidRDefault="001A7F9F" w:rsidP="001A7F9F">
      <w:pPr>
        <w:pStyle w:val="ListParagraph"/>
        <w:numPr>
          <w:ilvl w:val="0"/>
          <w:numId w:val="30"/>
        </w:numPr>
        <w:pBdr>
          <w:top w:val="nil"/>
          <w:left w:val="nil"/>
          <w:bottom w:val="nil"/>
          <w:right w:val="nil"/>
          <w:between w:val="nil"/>
        </w:pBdr>
        <w:spacing w:line="240" w:lineRule="auto"/>
      </w:pPr>
      <w:r w:rsidRPr="001A7F9F">
        <w:rPr>
          <w:rFonts w:ascii="Times New Roman" w:eastAsia="Times New Roman" w:hAnsi="Times New Roman" w:cs="Times New Roman"/>
          <w:color w:val="000000"/>
        </w:rPr>
        <w:t>Just &amp; Equitable: The Tribunal finds a valid reason (like a management deadloc</w:t>
      </w:r>
      <w:r w:rsidRPr="001A7F9F">
        <w:rPr>
          <w:rFonts w:ascii="Times New Roman" w:eastAsia="Times New Roman" w:hAnsi="Times New Roman" w:cs="Times New Roman"/>
          <w:color w:val="000000"/>
        </w:rPr>
        <w:t>k) to shut it down.</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2. Voluntary Winding Up</w:t>
      </w:r>
    </w:p>
    <w:p w:rsidR="00D80A02" w:rsidRDefault="001A7F9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members or creditors decide to close the company without a court order:</w:t>
      </w:r>
    </w:p>
    <w:p w:rsidR="00D80A02" w:rsidRDefault="001A7F9F" w:rsidP="001A7F9F">
      <w:pPr>
        <w:pStyle w:val="ListParagraph"/>
        <w:numPr>
          <w:ilvl w:val="0"/>
          <w:numId w:val="31"/>
        </w:numPr>
        <w:pBdr>
          <w:top w:val="nil"/>
          <w:left w:val="nil"/>
          <w:bottom w:val="nil"/>
          <w:right w:val="nil"/>
          <w:between w:val="nil"/>
        </w:pBdr>
        <w:spacing w:after="0" w:line="240" w:lineRule="auto"/>
      </w:pPr>
      <w:r w:rsidRPr="001A7F9F">
        <w:rPr>
          <w:rFonts w:ascii="Times New Roman" w:eastAsia="Times New Roman" w:hAnsi="Times New Roman" w:cs="Times New Roman"/>
          <w:color w:val="000000"/>
        </w:rPr>
        <w:t>Members' Voluntary: Used when the company is solvent (can pay its debts). Directors must file a "Declaration of Solvency."</w:t>
      </w:r>
    </w:p>
    <w:p w:rsidR="00D80A02" w:rsidRDefault="001A7F9F" w:rsidP="001A7F9F">
      <w:pPr>
        <w:pStyle w:val="ListParagraph"/>
        <w:numPr>
          <w:ilvl w:val="0"/>
          <w:numId w:val="31"/>
        </w:numPr>
        <w:pBdr>
          <w:top w:val="nil"/>
          <w:left w:val="nil"/>
          <w:bottom w:val="nil"/>
          <w:right w:val="nil"/>
          <w:between w:val="nil"/>
        </w:pBdr>
        <w:spacing w:line="240" w:lineRule="auto"/>
      </w:pPr>
      <w:r w:rsidRPr="001A7F9F">
        <w:rPr>
          <w:rFonts w:ascii="Times New Roman" w:eastAsia="Times New Roman" w:hAnsi="Times New Roman" w:cs="Times New Roman"/>
          <w:color w:val="000000"/>
        </w:rPr>
        <w:t>Creditors' Voluntary: Used when the company is insolvent. Creditors take control of the process to recover their money.</w:t>
      </w:r>
    </w:p>
    <w:p w:rsidR="00D80A02" w:rsidRDefault="00D80A02">
      <w:pPr>
        <w:pBdr>
          <w:top w:val="nil"/>
          <w:left w:val="nil"/>
          <w:bottom w:val="nil"/>
          <w:right w:val="nil"/>
          <w:between w:val="nil"/>
        </w:pBdr>
        <w:spacing w:line="240" w:lineRule="auto"/>
        <w:rPr>
          <w:rFonts w:ascii="Times New Roman" w:eastAsia="Times New Roman" w:hAnsi="Times New Roman" w:cs="Times New Roman"/>
        </w:rPr>
      </w:pP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 xml:space="preserve">23. </w:t>
      </w:r>
    </w:p>
    <w:p w:rsidR="00D80A02" w:rsidRDefault="001A7F9F">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Right to Information (Right to be Informed)</w:t>
      </w:r>
    </w:p>
    <w:p w:rsidR="00D80A02" w:rsidRDefault="001A7F9F">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Right to be </w:t>
      </w:r>
      <w:proofErr w:type="gramStart"/>
      <w:r>
        <w:rPr>
          <w:rFonts w:ascii="Times New Roman" w:eastAsia="Times New Roman" w:hAnsi="Times New Roman" w:cs="Times New Roman"/>
        </w:rPr>
        <w:t>Informed</w:t>
      </w:r>
      <w:proofErr w:type="gramEnd"/>
      <w:r>
        <w:rPr>
          <w:rFonts w:ascii="Times New Roman" w:eastAsia="Times New Roman" w:hAnsi="Times New Roman" w:cs="Times New Roman"/>
        </w:rPr>
        <w:t xml:space="preserve"> is one of the six fundamental rights under Section 2(9) of th</w:t>
      </w:r>
      <w:r>
        <w:rPr>
          <w:rFonts w:ascii="Times New Roman" w:eastAsia="Times New Roman" w:hAnsi="Times New Roman" w:cs="Times New Roman"/>
        </w:rPr>
        <w:t>e Consumer Protection Act, 2019. It mandates that consumers must be provided with accurate and complete information about the quality, quantity, potency, purity, standard, and price of goods or services.</w:t>
      </w:r>
    </w:p>
    <w:p w:rsidR="00D80A02" w:rsidRDefault="001A7F9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Why it is a Critical Right</w:t>
      </w:r>
    </w:p>
    <w:p w:rsidR="00D80A02" w:rsidRPr="001A7F9F" w:rsidRDefault="001A7F9F" w:rsidP="001A7F9F">
      <w:pPr>
        <w:pStyle w:val="ListParagraph"/>
        <w:numPr>
          <w:ilvl w:val="0"/>
          <w:numId w:val="32"/>
        </w:numP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rPr>
        <w:t>Enables Informed Choice: It allows consumers to compare products and choose what best fits their needs and budget.</w:t>
      </w:r>
    </w:p>
    <w:p w:rsidR="00D80A02" w:rsidRPr="001A7F9F" w:rsidRDefault="001A7F9F" w:rsidP="001A7F9F">
      <w:pPr>
        <w:pStyle w:val="ListParagraph"/>
        <w:numPr>
          <w:ilvl w:val="0"/>
          <w:numId w:val="32"/>
        </w:numP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rPr>
        <w:t>Prevents Deception: It protects consumers from "Unfair Trade Practices" like misleading advertisements, false claims, and deceptive packaging</w:t>
      </w:r>
      <w:r w:rsidRPr="001A7F9F">
        <w:rPr>
          <w:rFonts w:ascii="Times New Roman" w:eastAsia="Times New Roman" w:hAnsi="Times New Roman" w:cs="Times New Roman"/>
        </w:rPr>
        <w:t>.</w:t>
      </w:r>
    </w:p>
    <w:p w:rsidR="00D80A02" w:rsidRPr="001A7F9F" w:rsidRDefault="001A7F9F" w:rsidP="001A7F9F">
      <w:pPr>
        <w:pStyle w:val="ListParagraph"/>
        <w:numPr>
          <w:ilvl w:val="0"/>
          <w:numId w:val="32"/>
        </w:numP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rPr>
        <w:t>Safety: Information about ingredients (allergens), expiry dates, and usage instructions is vital for the physical safety of the user.</w:t>
      </w:r>
    </w:p>
    <w:p w:rsidR="00D80A02" w:rsidRPr="001A7F9F" w:rsidRDefault="001A7F9F" w:rsidP="001A7F9F">
      <w:pPr>
        <w:pStyle w:val="ListParagraph"/>
        <w:numPr>
          <w:ilvl w:val="0"/>
          <w:numId w:val="32"/>
        </w:numPr>
        <w:spacing w:after="0" w:line="240" w:lineRule="auto"/>
        <w:jc w:val="both"/>
        <w:rPr>
          <w:rFonts w:ascii="Times New Roman" w:eastAsia="Times New Roman" w:hAnsi="Times New Roman" w:cs="Times New Roman"/>
        </w:rPr>
      </w:pPr>
      <w:r w:rsidRPr="001A7F9F">
        <w:rPr>
          <w:rFonts w:ascii="Times New Roman" w:eastAsia="Times New Roman" w:hAnsi="Times New Roman" w:cs="Times New Roman"/>
        </w:rPr>
        <w:t>Promotes Accountability: By forcing transparency, it holds manufacturers and service providers responsible for their cla</w:t>
      </w:r>
      <w:r w:rsidRPr="001A7F9F">
        <w:rPr>
          <w:rFonts w:ascii="Times New Roman" w:eastAsia="Times New Roman" w:hAnsi="Times New Roman" w:cs="Times New Roman"/>
        </w:rPr>
        <w:t>ims.</w:t>
      </w:r>
    </w:p>
    <w:p w:rsidR="00D80A02" w:rsidRDefault="001A7F9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Chain of Cases (Landmark Judgments)</w:t>
      </w:r>
    </w:p>
    <w:p w:rsidR="00D80A02" w:rsidRDefault="001A7F9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The evolution of this right can be seen through a "chain" of legal milestones that shifted the burden of information from the consumer to the seller:</w:t>
      </w:r>
    </w:p>
    <w:p w:rsidR="00D80A02" w:rsidRDefault="001A7F9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 xml:space="preserve">1. State of U.P. v. Raj </w:t>
      </w:r>
      <w:proofErr w:type="spellStart"/>
      <w:r>
        <w:rPr>
          <w:rFonts w:ascii="Times New Roman" w:eastAsia="Times New Roman" w:hAnsi="Times New Roman" w:cs="Times New Roman"/>
        </w:rPr>
        <w:t>Narain</w:t>
      </w:r>
      <w:proofErr w:type="spellEnd"/>
      <w:r>
        <w:rPr>
          <w:rFonts w:ascii="Times New Roman" w:eastAsia="Times New Roman" w:hAnsi="Times New Roman" w:cs="Times New Roman"/>
        </w:rPr>
        <w:t xml:space="preserve"> (1975): </w:t>
      </w:r>
      <w:r>
        <w:rPr>
          <w:rFonts w:ascii="Times New Roman" w:eastAsia="Times New Roman" w:hAnsi="Times New Roman" w:cs="Times New Roman"/>
          <w:i/>
          <w:iCs/>
        </w:rPr>
        <w:t>Context:</w:t>
      </w:r>
      <w:r>
        <w:rPr>
          <w:rFonts w:ascii="Times New Roman" w:eastAsia="Times New Roman" w:hAnsi="Times New Roman" w:cs="Times New Roman"/>
        </w:rPr>
        <w:t xml:space="preserve"> Though not a cons</w:t>
      </w:r>
      <w:r>
        <w:rPr>
          <w:rFonts w:ascii="Times New Roman" w:eastAsia="Times New Roman" w:hAnsi="Times New Roman" w:cs="Times New Roman"/>
        </w:rPr>
        <w:t xml:space="preserve">umer case, it laid the foundation. </w:t>
      </w:r>
      <w:r>
        <w:rPr>
          <w:rFonts w:ascii="Times New Roman" w:eastAsia="Times New Roman" w:hAnsi="Times New Roman" w:cs="Times New Roman"/>
          <w:i/>
          <w:iCs/>
        </w:rPr>
        <w:t>Ruling:</w:t>
      </w:r>
      <w:r>
        <w:rPr>
          <w:rFonts w:ascii="Times New Roman" w:eastAsia="Times New Roman" w:hAnsi="Times New Roman" w:cs="Times New Roman"/>
        </w:rPr>
        <w:t xml:space="preserve"> The Supreme Court held that in a democracy, people have a right to know about every public act. This "Right to Know" was later integrated into consumer welfare.</w:t>
      </w:r>
    </w:p>
    <w:p w:rsidR="00D80A02" w:rsidRDefault="001A7F9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2. Indian Photographic Co. Ltd. v. H.D. </w:t>
      </w:r>
      <w:proofErr w:type="spellStart"/>
      <w:r>
        <w:rPr>
          <w:rFonts w:ascii="Times New Roman" w:eastAsia="Times New Roman" w:hAnsi="Times New Roman" w:cs="Times New Roman"/>
        </w:rPr>
        <w:t>Shourie</w:t>
      </w:r>
      <w:proofErr w:type="spellEnd"/>
      <w:r>
        <w:rPr>
          <w:rFonts w:ascii="Times New Roman" w:eastAsia="Times New Roman" w:hAnsi="Times New Roman" w:cs="Times New Roman"/>
        </w:rPr>
        <w:t xml:space="preserve"> (199</w:t>
      </w:r>
      <w:r>
        <w:rPr>
          <w:rFonts w:ascii="Times New Roman" w:eastAsia="Times New Roman" w:hAnsi="Times New Roman" w:cs="Times New Roman"/>
        </w:rPr>
        <w:t xml:space="preserve">9): </w:t>
      </w:r>
      <w:r>
        <w:rPr>
          <w:rFonts w:ascii="Times New Roman" w:eastAsia="Times New Roman" w:hAnsi="Times New Roman" w:cs="Times New Roman"/>
          <w:i/>
          <w:iCs/>
        </w:rPr>
        <w:t>Context:</w:t>
      </w:r>
      <w:r>
        <w:rPr>
          <w:rFonts w:ascii="Times New Roman" w:eastAsia="Times New Roman" w:hAnsi="Times New Roman" w:cs="Times New Roman"/>
        </w:rPr>
        <w:t xml:space="preserve"> A dispute over the price of a product. </w:t>
      </w:r>
      <w:r>
        <w:rPr>
          <w:rFonts w:ascii="Times New Roman" w:eastAsia="Times New Roman" w:hAnsi="Times New Roman" w:cs="Times New Roman"/>
          <w:i/>
          <w:iCs/>
        </w:rPr>
        <w:t>Ruling:</w:t>
      </w:r>
      <w:r>
        <w:rPr>
          <w:rFonts w:ascii="Times New Roman" w:eastAsia="Times New Roman" w:hAnsi="Times New Roman" w:cs="Times New Roman"/>
        </w:rPr>
        <w:t xml:space="preserve"> The Court emphasized that consumers have a right to know the MRP (Maximum Retail Price) and that hiding or manipulating prices is a violation of their fundamental right to information.</w:t>
      </w:r>
    </w:p>
    <w:p w:rsidR="00D80A02" w:rsidRDefault="001A7F9F">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3. Tobacco </w:t>
      </w:r>
      <w:r>
        <w:rPr>
          <w:rFonts w:ascii="Times New Roman" w:eastAsia="Times New Roman" w:hAnsi="Times New Roman" w:cs="Times New Roman"/>
        </w:rPr>
        <w:t xml:space="preserve">Manufacturers Case (various): </w:t>
      </w:r>
      <w:r>
        <w:rPr>
          <w:rFonts w:ascii="Times New Roman" w:eastAsia="Times New Roman" w:hAnsi="Times New Roman" w:cs="Times New Roman"/>
          <w:i/>
          <w:iCs/>
        </w:rPr>
        <w:t>Context:</w:t>
      </w:r>
      <w:r>
        <w:rPr>
          <w:rFonts w:ascii="Times New Roman" w:eastAsia="Times New Roman" w:hAnsi="Times New Roman" w:cs="Times New Roman"/>
        </w:rPr>
        <w:t xml:space="preserve"> Failure to warn about health risks. </w:t>
      </w:r>
      <w:r>
        <w:rPr>
          <w:rFonts w:ascii="Times New Roman" w:eastAsia="Times New Roman" w:hAnsi="Times New Roman" w:cs="Times New Roman"/>
          <w:i/>
          <w:iCs/>
        </w:rPr>
        <w:t>Ruling:</w:t>
      </w:r>
      <w:r>
        <w:rPr>
          <w:rFonts w:ascii="Times New Roman" w:eastAsia="Times New Roman" w:hAnsi="Times New Roman" w:cs="Times New Roman"/>
        </w:rPr>
        <w:t xml:space="preserve"> Courts established that "Silence is Fraud" if a product is hazardous. Manufacturers were forced to provide graphic health warnings, reinforcing the right to be informed abou</w:t>
      </w:r>
      <w:r>
        <w:rPr>
          <w:rFonts w:ascii="Times New Roman" w:eastAsia="Times New Roman" w:hAnsi="Times New Roman" w:cs="Times New Roman"/>
        </w:rPr>
        <w:t>t safety.</w:t>
      </w:r>
    </w:p>
    <w:p w:rsidR="00D80A02" w:rsidRDefault="001A7F9F">
      <w:pPr>
        <w:spacing w:after="0" w:line="240" w:lineRule="auto"/>
        <w:ind w:left="360"/>
        <w:jc w:val="both"/>
        <w:rPr>
          <w:rFonts w:ascii="Times New Roman" w:eastAsia="Times New Roman" w:hAnsi="Times New Roman" w:cs="Times New Roman"/>
        </w:rPr>
      </w:pPr>
      <w:bookmarkStart w:id="1" w:name="_heading=h.ckeb90n8cty5" w:colFirst="0" w:colLast="0"/>
      <w:bookmarkEnd w:id="1"/>
      <w:r>
        <w:rPr>
          <w:rFonts w:ascii="Times New Roman" w:eastAsia="Times New Roman" w:hAnsi="Times New Roman" w:cs="Times New Roman"/>
        </w:rPr>
        <w:t xml:space="preserve">4. M/s. </w:t>
      </w:r>
      <w:proofErr w:type="spellStart"/>
      <w:r>
        <w:rPr>
          <w:rFonts w:ascii="Times New Roman" w:eastAsia="Times New Roman" w:hAnsi="Times New Roman" w:cs="Times New Roman"/>
        </w:rPr>
        <w:t>Kozyflex</w:t>
      </w:r>
      <w:proofErr w:type="spellEnd"/>
      <w:r>
        <w:rPr>
          <w:rFonts w:ascii="Times New Roman" w:eastAsia="Times New Roman" w:hAnsi="Times New Roman" w:cs="Times New Roman"/>
        </w:rPr>
        <w:t xml:space="preserve"> Mattresses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 v. SBI General Insurance (2024): </w:t>
      </w:r>
      <w:r>
        <w:rPr>
          <w:rFonts w:ascii="Times New Roman" w:eastAsia="Times New Roman" w:hAnsi="Times New Roman" w:cs="Times New Roman"/>
          <w:i/>
          <w:iCs/>
        </w:rPr>
        <w:t>Context:</w:t>
      </w:r>
      <w:r>
        <w:rPr>
          <w:rFonts w:ascii="Times New Roman" w:eastAsia="Times New Roman" w:hAnsi="Times New Roman" w:cs="Times New Roman"/>
        </w:rPr>
        <w:t xml:space="preserve"> An insurance company withheld surveyor reports from a claimant. </w:t>
      </w:r>
      <w:r>
        <w:rPr>
          <w:rFonts w:ascii="Times New Roman" w:eastAsia="Times New Roman" w:hAnsi="Times New Roman" w:cs="Times New Roman"/>
          <w:i/>
          <w:iCs/>
        </w:rPr>
        <w:t>Ruling:</w:t>
      </w:r>
      <w:r>
        <w:rPr>
          <w:rFonts w:ascii="Times New Roman" w:eastAsia="Times New Roman" w:hAnsi="Times New Roman" w:cs="Times New Roman"/>
        </w:rPr>
        <w:t xml:space="preserve"> The Supreme Court ruled that withholding such reports is a violation of the consumer's right to </w:t>
      </w:r>
      <w:r>
        <w:rPr>
          <w:rFonts w:ascii="Times New Roman" w:eastAsia="Times New Roman" w:hAnsi="Times New Roman" w:cs="Times New Roman"/>
        </w:rPr>
        <w:t>information. Consumers are entitled to see the "basis" of a decision made by a service provider.</w:t>
      </w:r>
    </w:p>
    <w:p w:rsidR="00D80A02" w:rsidRDefault="001A7F9F">
      <w:pPr>
        <w:spacing w:line="240" w:lineRule="auto"/>
        <w:rPr>
          <w:rFonts w:ascii="Times New Roman" w:eastAsia="Times New Roman" w:hAnsi="Times New Roman" w:cs="Times New Roman"/>
        </w:rPr>
      </w:pPr>
      <w:r>
        <w:rPr>
          <w:rFonts w:ascii="Times New Roman" w:eastAsia="Times New Roman" w:hAnsi="Times New Roman" w:cs="Times New Roman"/>
        </w:rPr>
        <w:t xml:space="preserve">24. </w:t>
      </w:r>
    </w:p>
    <w:tbl>
      <w:tblPr>
        <w:tblStyle w:val="a1"/>
        <w:tblW w:w="10080" w:type="dxa"/>
        <w:tblBorders>
          <w:top w:val="nil"/>
          <w:left w:val="nil"/>
          <w:bottom w:val="nil"/>
          <w:right w:val="nil"/>
          <w:insideH w:val="nil"/>
          <w:insideV w:val="nil"/>
        </w:tblBorders>
        <w:tblLayout w:type="fixed"/>
        <w:tblLook w:val="0600" w:firstRow="0" w:lastRow="0" w:firstColumn="0" w:lastColumn="0" w:noHBand="1" w:noVBand="1"/>
      </w:tblPr>
      <w:tblGrid>
        <w:gridCol w:w="2025"/>
        <w:gridCol w:w="3375"/>
        <w:gridCol w:w="4680"/>
      </w:tblGrid>
      <w:tr w:rsidR="00D80A02" w:rsidTr="001A7F9F">
        <w:trPr>
          <w:trHeight w:val="540"/>
        </w:trPr>
        <w:tc>
          <w:tcPr>
            <w:tcW w:w="202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rsidR="00D80A02" w:rsidRPr="001A7F9F" w:rsidRDefault="001A7F9F">
            <w:pPr>
              <w:spacing w:after="480" w:line="240" w:lineRule="auto"/>
              <w:rPr>
                <w:rFonts w:ascii="Times New Roman" w:eastAsia="Times New Roman" w:hAnsi="Times New Roman" w:cs="Times New Roman"/>
                <w:b/>
                <w:color w:val="1F1F1F"/>
              </w:rPr>
            </w:pPr>
            <w:r w:rsidRPr="001A7F9F">
              <w:rPr>
                <w:rFonts w:ascii="Times New Roman" w:eastAsia="Times New Roman" w:hAnsi="Times New Roman" w:cs="Times New Roman"/>
                <w:b/>
                <w:color w:val="1F1F1F"/>
              </w:rPr>
              <w:t>Feature</w:t>
            </w:r>
          </w:p>
        </w:tc>
        <w:tc>
          <w:tcPr>
            <w:tcW w:w="337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rsidR="00D80A02" w:rsidRPr="001A7F9F" w:rsidRDefault="001A7F9F">
            <w:pPr>
              <w:spacing w:after="480" w:line="240" w:lineRule="auto"/>
              <w:rPr>
                <w:rFonts w:ascii="Times New Roman" w:eastAsia="Times New Roman" w:hAnsi="Times New Roman" w:cs="Times New Roman"/>
                <w:b/>
                <w:color w:val="1F1F1F"/>
              </w:rPr>
            </w:pPr>
            <w:r w:rsidRPr="001A7F9F">
              <w:rPr>
                <w:rFonts w:ascii="Times New Roman" w:eastAsia="Times New Roman" w:hAnsi="Times New Roman" w:cs="Times New Roman"/>
                <w:b/>
                <w:color w:val="1F1F1F"/>
              </w:rPr>
              <w:t>IT Act 2000</w:t>
            </w:r>
          </w:p>
        </w:tc>
        <w:tc>
          <w:tcPr>
            <w:tcW w:w="4680"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rsidR="00D80A02" w:rsidRPr="001A7F9F" w:rsidRDefault="001A7F9F">
            <w:pPr>
              <w:spacing w:after="480" w:line="240" w:lineRule="auto"/>
              <w:rPr>
                <w:rFonts w:ascii="Times New Roman" w:eastAsia="Times New Roman" w:hAnsi="Times New Roman" w:cs="Times New Roman"/>
                <w:b/>
                <w:color w:val="1F1F1F"/>
              </w:rPr>
            </w:pPr>
            <w:r w:rsidRPr="001A7F9F">
              <w:rPr>
                <w:rFonts w:ascii="Times New Roman" w:eastAsia="Times New Roman" w:hAnsi="Times New Roman" w:cs="Times New Roman"/>
                <w:b/>
                <w:color w:val="1F1F1F"/>
              </w:rPr>
              <w:t>IT Act 2008 (Amendment)</w:t>
            </w:r>
          </w:p>
        </w:tc>
      </w:tr>
      <w:tr w:rsidR="00D80A02" w:rsidTr="001A7F9F">
        <w:trPr>
          <w:trHeight w:val="1202"/>
        </w:trPr>
        <w:tc>
          <w:tcPr>
            <w:tcW w:w="202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Scope of Cybercrimes</w:t>
            </w:r>
          </w:p>
        </w:tc>
        <w:tc>
          <w:tcPr>
            <w:tcW w:w="337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Primarily covered basic hacking, tampering with source code, and publishing obscenity.</w:t>
            </w:r>
          </w:p>
        </w:tc>
        <w:tc>
          <w:tcPr>
            <w:tcW w:w="468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Greatly expanded. Introduced specific offenses for identity theft (66C), phishing (66D), voyeurism (66E), and cyber terrorism (66F).</w:t>
            </w:r>
          </w:p>
        </w:tc>
      </w:tr>
      <w:tr w:rsidR="00D80A02" w:rsidTr="001A7F9F">
        <w:trPr>
          <w:trHeight w:val="1202"/>
        </w:trPr>
        <w:tc>
          <w:tcPr>
            <w:tcW w:w="202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Data Protection (Corporate)</w:t>
            </w:r>
          </w:p>
        </w:tc>
        <w:tc>
          <w:tcPr>
            <w:tcW w:w="337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Lacked specific provisions for corporate negligence regarding personal data.</w:t>
            </w:r>
          </w:p>
        </w:tc>
        <w:tc>
          <w:tcPr>
            <w:tcW w:w="468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Introduced Section 43A, making corporate bodies liable to pay compensation for failing to implement "reasonable security practices" to protect sensitive personal data.</w:t>
            </w:r>
          </w:p>
        </w:tc>
      </w:tr>
      <w:tr w:rsidR="00D80A02" w:rsidTr="001A7F9F">
        <w:trPr>
          <w:trHeight w:val="1373"/>
        </w:trPr>
        <w:tc>
          <w:tcPr>
            <w:tcW w:w="202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Adjudication Process</w:t>
            </w:r>
            <w:bookmarkStart w:id="2" w:name="_GoBack"/>
            <w:bookmarkEnd w:id="2"/>
          </w:p>
        </w:tc>
        <w:tc>
          <w:tcPr>
            <w:tcW w:w="337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 xml:space="preserve">Capped the compensation an Adjudicating Officer could award at ₹1 </w:t>
            </w:r>
            <w:proofErr w:type="spellStart"/>
            <w:r>
              <w:rPr>
                <w:rFonts w:ascii="Times New Roman" w:eastAsia="Times New Roman" w:hAnsi="Times New Roman" w:cs="Times New Roman"/>
                <w:color w:val="1F1F1F"/>
              </w:rPr>
              <w:t>Crore</w:t>
            </w:r>
            <w:proofErr w:type="spellEnd"/>
            <w:r>
              <w:rPr>
                <w:rFonts w:ascii="Times New Roman" w:eastAsia="Times New Roman" w:hAnsi="Times New Roman" w:cs="Times New Roman"/>
                <w:color w:val="1F1F1F"/>
              </w:rPr>
              <w:t>.</w:t>
            </w:r>
          </w:p>
        </w:tc>
        <w:tc>
          <w:tcPr>
            <w:tcW w:w="468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rsidR="00D80A02" w:rsidRDefault="001A7F9F" w:rsidP="001A7F9F">
            <w:pPr>
              <w:spacing w:after="0" w:line="240" w:lineRule="auto"/>
              <w:rPr>
                <w:rFonts w:ascii="Times New Roman" w:eastAsia="Times New Roman" w:hAnsi="Times New Roman" w:cs="Times New Roman"/>
                <w:color w:val="1F1F1F"/>
              </w:rPr>
            </w:pPr>
            <w:r>
              <w:rPr>
                <w:rFonts w:ascii="Times New Roman" w:eastAsia="Times New Roman" w:hAnsi="Times New Roman" w:cs="Times New Roman"/>
                <w:color w:val="1F1F1F"/>
              </w:rPr>
              <w:t xml:space="preserve">Removed the ₹1 </w:t>
            </w:r>
            <w:proofErr w:type="spellStart"/>
            <w:r>
              <w:rPr>
                <w:rFonts w:ascii="Times New Roman" w:eastAsia="Times New Roman" w:hAnsi="Times New Roman" w:cs="Times New Roman"/>
                <w:color w:val="1F1F1F"/>
              </w:rPr>
              <w:t>Crore</w:t>
            </w:r>
            <w:proofErr w:type="spellEnd"/>
            <w:r>
              <w:rPr>
                <w:rFonts w:ascii="Times New Roman" w:eastAsia="Times New Roman" w:hAnsi="Times New Roman" w:cs="Times New Roman"/>
                <w:color w:val="1F1F1F"/>
              </w:rPr>
              <w:t xml:space="preserve"> ceiling for compensation under Section 43. However, Adjudicating Officers now handle claims up to ₹5 </w:t>
            </w:r>
            <w:proofErr w:type="spellStart"/>
            <w:r>
              <w:rPr>
                <w:rFonts w:ascii="Times New Roman" w:eastAsia="Times New Roman" w:hAnsi="Times New Roman" w:cs="Times New Roman"/>
                <w:color w:val="1F1F1F"/>
              </w:rPr>
              <w:t>Crores</w:t>
            </w:r>
            <w:proofErr w:type="spellEnd"/>
            <w:r>
              <w:rPr>
                <w:rFonts w:ascii="Times New Roman" w:eastAsia="Times New Roman" w:hAnsi="Times New Roman" w:cs="Times New Roman"/>
                <w:color w:val="1F1F1F"/>
              </w:rPr>
              <w:t>, while higher claims go to competent civil courts.</w:t>
            </w:r>
          </w:p>
        </w:tc>
      </w:tr>
    </w:tbl>
    <w:p w:rsidR="00D80A02" w:rsidRDefault="00D80A02">
      <w:pPr>
        <w:pBdr>
          <w:top w:val="nil"/>
          <w:left w:val="nil"/>
          <w:bottom w:val="nil"/>
          <w:right w:val="nil"/>
          <w:between w:val="nil"/>
        </w:pBdr>
        <w:spacing w:line="240" w:lineRule="auto"/>
        <w:rPr>
          <w:rFonts w:ascii="Times New Roman" w:eastAsia="Times New Roman" w:hAnsi="Times New Roman" w:cs="Times New Roman"/>
        </w:rPr>
      </w:pPr>
    </w:p>
    <w:p w:rsidR="00D80A02" w:rsidRDefault="00D80A02">
      <w:pPr>
        <w:pBdr>
          <w:top w:val="nil"/>
          <w:left w:val="nil"/>
          <w:bottom w:val="nil"/>
          <w:right w:val="nil"/>
          <w:between w:val="nil"/>
        </w:pBdr>
        <w:spacing w:line="240" w:lineRule="auto"/>
        <w:jc w:val="both"/>
        <w:rPr>
          <w:rFonts w:ascii="Times New Roman" w:eastAsia="Times New Roman" w:hAnsi="Times New Roman" w:cs="Times New Roman"/>
          <w:color w:val="000000"/>
        </w:rPr>
      </w:pPr>
    </w:p>
    <w:p w:rsidR="00D80A02" w:rsidRDefault="00D80A02">
      <w:pPr>
        <w:spacing w:after="0" w:line="240" w:lineRule="auto"/>
        <w:ind w:left="360"/>
        <w:jc w:val="both"/>
        <w:rPr>
          <w:rFonts w:ascii="Times New Roman" w:eastAsia="Times New Roman" w:hAnsi="Times New Roman" w:cs="Times New Roman"/>
        </w:rPr>
      </w:pPr>
    </w:p>
    <w:sectPr w:rsidR="00D80A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926569B-746E-4B18-8633-735C4F8BA061}"/>
  </w:font>
  <w:font w:name="Apto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201E8223-71A4-46ED-AD30-F16D7A5AE0CC}"/>
    <w:embedBoldItalic r:id="rId3" w:fontKey="{351CC2A9-7EC6-451C-A4B6-2F23C4538822}"/>
  </w:font>
  <w:font w:name="Georgia">
    <w:panose1 w:val="02040502050405020303"/>
    <w:charset w:val="00"/>
    <w:family w:val="roman"/>
    <w:pitch w:val="variable"/>
    <w:sig w:usb0="00000287" w:usb1="00000000" w:usb2="00000000" w:usb3="00000000" w:csb0="0000009F" w:csb1="00000000"/>
    <w:embedItalic r:id="rId4" w:fontKey="{C6EC667B-B168-43C2-89BD-89886117351D}"/>
  </w:font>
  <w:font w:name="Calibri">
    <w:panose1 w:val="020F0502020204030204"/>
    <w:charset w:val="00"/>
    <w:family w:val="swiss"/>
    <w:pitch w:val="variable"/>
    <w:sig w:usb0="E4002EFF" w:usb1="C000247B" w:usb2="00000009" w:usb3="00000000" w:csb0="000001FF" w:csb1="00000000"/>
    <w:embedRegular r:id="rId5" w:fontKey="{A360C48F-8EED-41CE-8C7C-8866296A015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2214"/>
    <w:multiLevelType w:val="hybridMultilevel"/>
    <w:tmpl w:val="410A8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B3148C"/>
    <w:multiLevelType w:val="multilevel"/>
    <w:tmpl w:val="EA4E6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E866E6F"/>
    <w:multiLevelType w:val="multilevel"/>
    <w:tmpl w:val="C856419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21F66E0"/>
    <w:multiLevelType w:val="multilevel"/>
    <w:tmpl w:val="E52091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D0466F9"/>
    <w:multiLevelType w:val="multilevel"/>
    <w:tmpl w:val="680ACF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FDA1D95"/>
    <w:multiLevelType w:val="hybridMultilevel"/>
    <w:tmpl w:val="43E06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26B16F7"/>
    <w:multiLevelType w:val="multilevel"/>
    <w:tmpl w:val="63CCE054"/>
    <w:lvl w:ilvl="0">
      <w:start w:val="1"/>
      <w:numFmt w:val="decimal"/>
      <w:lvlText w:val="%1."/>
      <w:lvlJc w:val="left"/>
      <w:pPr>
        <w:ind w:left="720" w:hanging="360"/>
      </w:pPr>
      <w:rPr>
        <w:rFonts w:ascii="Times New Roman" w:eastAsia="Times New Roman" w:hAnsi="Times New Roman" w:cs="Times New Roman"/>
        <w:b w:val="0"/>
        <w:bCs w:val="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D1E027B"/>
    <w:multiLevelType w:val="multilevel"/>
    <w:tmpl w:val="C9D69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2DC21BB7"/>
    <w:multiLevelType w:val="multilevel"/>
    <w:tmpl w:val="E77899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F575F7C"/>
    <w:multiLevelType w:val="hybridMultilevel"/>
    <w:tmpl w:val="BA863A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FFE5102"/>
    <w:multiLevelType w:val="multilevel"/>
    <w:tmpl w:val="EE2225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3405BB4"/>
    <w:multiLevelType w:val="hybridMultilevel"/>
    <w:tmpl w:val="A20EA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442341"/>
    <w:multiLevelType w:val="hybridMultilevel"/>
    <w:tmpl w:val="47A4D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626D2C"/>
    <w:multiLevelType w:val="multilevel"/>
    <w:tmpl w:val="23C81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FDD4F22"/>
    <w:multiLevelType w:val="hybridMultilevel"/>
    <w:tmpl w:val="3100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67B3269"/>
    <w:multiLevelType w:val="hybridMultilevel"/>
    <w:tmpl w:val="3642E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99E00EC"/>
    <w:multiLevelType w:val="multilevel"/>
    <w:tmpl w:val="1CDC8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B843903"/>
    <w:multiLevelType w:val="multilevel"/>
    <w:tmpl w:val="C352D3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nsid w:val="512E0804"/>
    <w:multiLevelType w:val="multilevel"/>
    <w:tmpl w:val="4AFE5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531D51F1"/>
    <w:multiLevelType w:val="hybridMultilevel"/>
    <w:tmpl w:val="8E18D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34956A0"/>
    <w:multiLevelType w:val="multilevel"/>
    <w:tmpl w:val="E3248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6C2297D"/>
    <w:multiLevelType w:val="hybridMultilevel"/>
    <w:tmpl w:val="A6129B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D9F635F"/>
    <w:multiLevelType w:val="multilevel"/>
    <w:tmpl w:val="F4F29F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629D697B"/>
    <w:multiLevelType w:val="multilevel"/>
    <w:tmpl w:val="C804EE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nsid w:val="63D648BC"/>
    <w:multiLevelType w:val="hybridMultilevel"/>
    <w:tmpl w:val="11845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273557"/>
    <w:multiLevelType w:val="hybridMultilevel"/>
    <w:tmpl w:val="F20EC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2630EC"/>
    <w:multiLevelType w:val="multilevel"/>
    <w:tmpl w:val="3280E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70E42141"/>
    <w:multiLevelType w:val="multilevel"/>
    <w:tmpl w:val="F8DE1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75FB7B0D"/>
    <w:multiLevelType w:val="hybridMultilevel"/>
    <w:tmpl w:val="066CD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92128AD"/>
    <w:multiLevelType w:val="hybridMultilevel"/>
    <w:tmpl w:val="8258F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434150"/>
    <w:multiLevelType w:val="multilevel"/>
    <w:tmpl w:val="B896DE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7E071A77"/>
    <w:multiLevelType w:val="multilevel"/>
    <w:tmpl w:val="14B82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6"/>
  </w:num>
  <w:num w:numId="3">
    <w:abstractNumId w:val="17"/>
  </w:num>
  <w:num w:numId="4">
    <w:abstractNumId w:val="30"/>
  </w:num>
  <w:num w:numId="5">
    <w:abstractNumId w:val="1"/>
  </w:num>
  <w:num w:numId="6">
    <w:abstractNumId w:val="3"/>
  </w:num>
  <w:num w:numId="7">
    <w:abstractNumId w:val="8"/>
  </w:num>
  <w:num w:numId="8">
    <w:abstractNumId w:val="18"/>
  </w:num>
  <w:num w:numId="9">
    <w:abstractNumId w:val="31"/>
  </w:num>
  <w:num w:numId="10">
    <w:abstractNumId w:val="27"/>
  </w:num>
  <w:num w:numId="11">
    <w:abstractNumId w:val="22"/>
  </w:num>
  <w:num w:numId="12">
    <w:abstractNumId w:val="2"/>
  </w:num>
  <w:num w:numId="13">
    <w:abstractNumId w:val="16"/>
  </w:num>
  <w:num w:numId="14">
    <w:abstractNumId w:val="10"/>
  </w:num>
  <w:num w:numId="15">
    <w:abstractNumId w:val="23"/>
  </w:num>
  <w:num w:numId="16">
    <w:abstractNumId w:val="26"/>
  </w:num>
  <w:num w:numId="17">
    <w:abstractNumId w:val="4"/>
  </w:num>
  <w:num w:numId="18">
    <w:abstractNumId w:val="13"/>
  </w:num>
  <w:num w:numId="19">
    <w:abstractNumId w:val="20"/>
  </w:num>
  <w:num w:numId="20">
    <w:abstractNumId w:val="25"/>
  </w:num>
  <w:num w:numId="21">
    <w:abstractNumId w:val="19"/>
  </w:num>
  <w:num w:numId="22">
    <w:abstractNumId w:val="24"/>
  </w:num>
  <w:num w:numId="23">
    <w:abstractNumId w:val="21"/>
  </w:num>
  <w:num w:numId="24">
    <w:abstractNumId w:val="29"/>
  </w:num>
  <w:num w:numId="25">
    <w:abstractNumId w:val="14"/>
  </w:num>
  <w:num w:numId="26">
    <w:abstractNumId w:val="5"/>
  </w:num>
  <w:num w:numId="27">
    <w:abstractNumId w:val="0"/>
  </w:num>
  <w:num w:numId="28">
    <w:abstractNumId w:val="9"/>
  </w:num>
  <w:num w:numId="29">
    <w:abstractNumId w:val="15"/>
  </w:num>
  <w:num w:numId="30">
    <w:abstractNumId w:val="11"/>
  </w:num>
  <w:num w:numId="31">
    <w:abstractNumId w:val="1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D80A02"/>
    <w:rsid w:val="001A7F9F"/>
    <w:rsid w:val="00D80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3Char">
    <w:name w:val="Heading 3 Char"/>
    <w:basedOn w:val="DefaultParagraphFont"/>
    <w:link w:val="Heading3"/>
    <w:uiPriority w:val="9"/>
    <w:rsid w:val="00A57890"/>
    <w:rPr>
      <w:rFonts w:ascii="Times New Roman" w:eastAsia="Times New Roman" w:hAnsi="Times New Roman" w:cs="Times New Roman"/>
      <w:b/>
      <w:bCs/>
      <w:sz w:val="27"/>
      <w:szCs w:val="27"/>
    </w:rPr>
  </w:style>
  <w:style w:type="paragraph" w:styleId="NormalWeb">
    <w:name w:val="Normal (Web)"/>
    <w:basedOn w:val="Normal"/>
    <w:uiPriority w:val="99"/>
    <w:unhideWhenUsed/>
    <w:rsid w:val="00A57890"/>
    <w:pPr>
      <w:spacing w:before="100" w:beforeAutospacing="1" w:after="100" w:afterAutospacing="1"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A57890"/>
    <w:pPr>
      <w:ind w:left="720"/>
      <w:contextualSpacing/>
    </w:pPr>
  </w:style>
  <w:style w:type="character" w:styleId="Strong">
    <w:name w:val="Strong"/>
    <w:basedOn w:val="DefaultParagraphFont"/>
    <w:uiPriority w:val="22"/>
    <w:qFormat/>
    <w:rsid w:val="008F2BB4"/>
    <w:rPr>
      <w:b/>
      <w:bCs/>
    </w:rPr>
  </w:style>
  <w:style w:type="character" w:customStyle="1" w:styleId="Heading4Char">
    <w:name w:val="Heading 4 Char"/>
    <w:basedOn w:val="DefaultParagraphFont"/>
    <w:link w:val="Heading4"/>
    <w:uiPriority w:val="9"/>
    <w:semiHidden/>
    <w:rsid w:val="000E099D"/>
    <w:rPr>
      <w:rFonts w:asciiTheme="majorHAnsi" w:eastAsiaTheme="majorEastAsia" w:hAnsiTheme="majorHAnsi" w:cstheme="majorBidi"/>
      <w:b/>
      <w:bCs/>
      <w:i/>
      <w:iCs/>
      <w:color w:val="4F81BD" w:themeColor="accent1"/>
      <w:sz w:val="24"/>
      <w:szCs w:val="24"/>
      <w:lang w:val="en-IN"/>
    </w:rPr>
  </w:style>
  <w:style w:type="character" w:customStyle="1" w:styleId="citation-61">
    <w:name w:val="citation-61"/>
    <w:basedOn w:val="DefaultParagraphFont"/>
    <w:rsid w:val="000E099D"/>
  </w:style>
  <w:style w:type="character" w:customStyle="1" w:styleId="citation-59">
    <w:name w:val="citation-59"/>
    <w:basedOn w:val="DefaultParagraphFont"/>
    <w:rsid w:val="000E099D"/>
  </w:style>
  <w:style w:type="character" w:customStyle="1" w:styleId="citation-57">
    <w:name w:val="citation-57"/>
    <w:basedOn w:val="DefaultParagraphFont"/>
    <w:rsid w:val="000E099D"/>
  </w:style>
  <w:style w:type="character" w:customStyle="1" w:styleId="citation-56">
    <w:name w:val="citation-56"/>
    <w:basedOn w:val="DefaultParagraphFont"/>
    <w:rsid w:val="000E099D"/>
  </w:style>
  <w:style w:type="character" w:customStyle="1" w:styleId="citation-54">
    <w:name w:val="citation-54"/>
    <w:basedOn w:val="DefaultParagraphFont"/>
    <w:rsid w:val="000E099D"/>
  </w:style>
  <w:style w:type="character" w:customStyle="1" w:styleId="citation-51">
    <w:name w:val="citation-51"/>
    <w:basedOn w:val="DefaultParagraphFont"/>
    <w:rsid w:val="000E099D"/>
  </w:style>
  <w:style w:type="character" w:customStyle="1" w:styleId="citation-50">
    <w:name w:val="citation-50"/>
    <w:basedOn w:val="DefaultParagraphFont"/>
    <w:rsid w:val="000E099D"/>
  </w:style>
  <w:style w:type="character" w:customStyle="1" w:styleId="citation-49">
    <w:name w:val="citation-49"/>
    <w:basedOn w:val="DefaultParagraphFont"/>
    <w:rsid w:val="000E099D"/>
  </w:style>
  <w:style w:type="character" w:customStyle="1" w:styleId="citation-48">
    <w:name w:val="citation-48"/>
    <w:basedOn w:val="DefaultParagraphFont"/>
    <w:rsid w:val="000E099D"/>
  </w:style>
  <w:style w:type="character" w:customStyle="1" w:styleId="citation-47">
    <w:name w:val="citation-47"/>
    <w:basedOn w:val="DefaultParagraphFont"/>
    <w:rsid w:val="000E099D"/>
  </w:style>
  <w:style w:type="character" w:customStyle="1" w:styleId="citation-46">
    <w:name w:val="citation-46"/>
    <w:basedOn w:val="DefaultParagraphFont"/>
    <w:rsid w:val="000E099D"/>
  </w:style>
  <w:style w:type="character" w:customStyle="1" w:styleId="citation-45">
    <w:name w:val="citation-45"/>
    <w:basedOn w:val="DefaultParagraphFont"/>
    <w:rsid w:val="000E099D"/>
  </w:style>
  <w:style w:type="character" w:customStyle="1" w:styleId="citation-116">
    <w:name w:val="citation-116"/>
    <w:basedOn w:val="DefaultParagraphFont"/>
    <w:rsid w:val="00514960"/>
  </w:style>
  <w:style w:type="character" w:customStyle="1" w:styleId="citation-115">
    <w:name w:val="citation-115"/>
    <w:basedOn w:val="DefaultParagraphFont"/>
    <w:rsid w:val="00514960"/>
  </w:style>
  <w:style w:type="character" w:customStyle="1" w:styleId="citation-114">
    <w:name w:val="citation-114"/>
    <w:basedOn w:val="DefaultParagraphFont"/>
    <w:rsid w:val="00514960"/>
  </w:style>
  <w:style w:type="character" w:customStyle="1" w:styleId="citation-113">
    <w:name w:val="citation-113"/>
    <w:basedOn w:val="DefaultParagraphFont"/>
    <w:rsid w:val="00514960"/>
  </w:style>
  <w:style w:type="character" w:customStyle="1" w:styleId="citation-112">
    <w:name w:val="citation-112"/>
    <w:basedOn w:val="DefaultParagraphFont"/>
    <w:rsid w:val="00514960"/>
  </w:style>
  <w:style w:type="character" w:customStyle="1" w:styleId="citation-111">
    <w:name w:val="citation-111"/>
    <w:basedOn w:val="DefaultParagraphFont"/>
    <w:rsid w:val="00514960"/>
  </w:style>
  <w:style w:type="character" w:customStyle="1" w:styleId="citation-110">
    <w:name w:val="citation-110"/>
    <w:basedOn w:val="DefaultParagraphFont"/>
    <w:rsid w:val="00514960"/>
  </w:style>
  <w:style w:type="character" w:customStyle="1" w:styleId="citation-109">
    <w:name w:val="citation-109"/>
    <w:basedOn w:val="DefaultParagraphFont"/>
    <w:rsid w:val="00514960"/>
  </w:style>
  <w:style w:type="character" w:customStyle="1" w:styleId="citation-108">
    <w:name w:val="citation-108"/>
    <w:basedOn w:val="DefaultParagraphFont"/>
    <w:rsid w:val="00514960"/>
  </w:style>
  <w:style w:type="character" w:customStyle="1" w:styleId="citation-107">
    <w:name w:val="citation-107"/>
    <w:basedOn w:val="DefaultParagraphFont"/>
    <w:rsid w:val="00514960"/>
  </w:style>
  <w:style w:type="character" w:customStyle="1" w:styleId="citation-106">
    <w:name w:val="citation-106"/>
    <w:basedOn w:val="DefaultParagraphFont"/>
    <w:rsid w:val="00514960"/>
  </w:style>
  <w:style w:type="character" w:customStyle="1" w:styleId="citation-105">
    <w:name w:val="citation-105"/>
    <w:basedOn w:val="DefaultParagraphFont"/>
    <w:rsid w:val="00514960"/>
  </w:style>
  <w:style w:type="character" w:customStyle="1" w:styleId="citation-104">
    <w:name w:val="citation-104"/>
    <w:basedOn w:val="DefaultParagraphFont"/>
    <w:rsid w:val="00514960"/>
  </w:style>
  <w:style w:type="character" w:customStyle="1" w:styleId="citation-103">
    <w:name w:val="citation-103"/>
    <w:basedOn w:val="DefaultParagraphFont"/>
    <w:rsid w:val="00514960"/>
  </w:style>
  <w:style w:type="character" w:customStyle="1" w:styleId="citation-102">
    <w:name w:val="citation-102"/>
    <w:basedOn w:val="DefaultParagraphFont"/>
    <w:rsid w:val="00514960"/>
  </w:style>
  <w:style w:type="character" w:customStyle="1" w:styleId="citation-203">
    <w:name w:val="citation-203"/>
    <w:basedOn w:val="DefaultParagraphFont"/>
    <w:rsid w:val="00F03B76"/>
  </w:style>
  <w:style w:type="character" w:customStyle="1" w:styleId="citation-202">
    <w:name w:val="citation-202"/>
    <w:basedOn w:val="DefaultParagraphFont"/>
    <w:rsid w:val="00F03B76"/>
  </w:style>
  <w:style w:type="character" w:customStyle="1" w:styleId="citation-201">
    <w:name w:val="citation-201"/>
    <w:basedOn w:val="DefaultParagraphFont"/>
    <w:rsid w:val="00F03B76"/>
  </w:style>
  <w:style w:type="character" w:customStyle="1" w:styleId="citation-200">
    <w:name w:val="citation-200"/>
    <w:basedOn w:val="DefaultParagraphFont"/>
    <w:rsid w:val="00F03B76"/>
  </w:style>
  <w:style w:type="character" w:customStyle="1" w:styleId="citation-199">
    <w:name w:val="citation-199"/>
    <w:basedOn w:val="DefaultParagraphFont"/>
    <w:rsid w:val="00F03B76"/>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3Char">
    <w:name w:val="Heading 3 Char"/>
    <w:basedOn w:val="DefaultParagraphFont"/>
    <w:link w:val="Heading3"/>
    <w:uiPriority w:val="9"/>
    <w:rsid w:val="00A57890"/>
    <w:rPr>
      <w:rFonts w:ascii="Times New Roman" w:eastAsia="Times New Roman" w:hAnsi="Times New Roman" w:cs="Times New Roman"/>
      <w:b/>
      <w:bCs/>
      <w:sz w:val="27"/>
      <w:szCs w:val="27"/>
    </w:rPr>
  </w:style>
  <w:style w:type="paragraph" w:styleId="NormalWeb">
    <w:name w:val="Normal (Web)"/>
    <w:basedOn w:val="Normal"/>
    <w:uiPriority w:val="99"/>
    <w:unhideWhenUsed/>
    <w:rsid w:val="00A57890"/>
    <w:pPr>
      <w:spacing w:before="100" w:beforeAutospacing="1" w:after="100" w:afterAutospacing="1"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A57890"/>
    <w:pPr>
      <w:ind w:left="720"/>
      <w:contextualSpacing/>
    </w:pPr>
  </w:style>
  <w:style w:type="character" w:styleId="Strong">
    <w:name w:val="Strong"/>
    <w:basedOn w:val="DefaultParagraphFont"/>
    <w:uiPriority w:val="22"/>
    <w:qFormat/>
    <w:rsid w:val="008F2BB4"/>
    <w:rPr>
      <w:b/>
      <w:bCs/>
    </w:rPr>
  </w:style>
  <w:style w:type="character" w:customStyle="1" w:styleId="Heading4Char">
    <w:name w:val="Heading 4 Char"/>
    <w:basedOn w:val="DefaultParagraphFont"/>
    <w:link w:val="Heading4"/>
    <w:uiPriority w:val="9"/>
    <w:semiHidden/>
    <w:rsid w:val="000E099D"/>
    <w:rPr>
      <w:rFonts w:asciiTheme="majorHAnsi" w:eastAsiaTheme="majorEastAsia" w:hAnsiTheme="majorHAnsi" w:cstheme="majorBidi"/>
      <w:b/>
      <w:bCs/>
      <w:i/>
      <w:iCs/>
      <w:color w:val="4F81BD" w:themeColor="accent1"/>
      <w:sz w:val="24"/>
      <w:szCs w:val="24"/>
      <w:lang w:val="en-IN"/>
    </w:rPr>
  </w:style>
  <w:style w:type="character" w:customStyle="1" w:styleId="citation-61">
    <w:name w:val="citation-61"/>
    <w:basedOn w:val="DefaultParagraphFont"/>
    <w:rsid w:val="000E099D"/>
  </w:style>
  <w:style w:type="character" w:customStyle="1" w:styleId="citation-59">
    <w:name w:val="citation-59"/>
    <w:basedOn w:val="DefaultParagraphFont"/>
    <w:rsid w:val="000E099D"/>
  </w:style>
  <w:style w:type="character" w:customStyle="1" w:styleId="citation-57">
    <w:name w:val="citation-57"/>
    <w:basedOn w:val="DefaultParagraphFont"/>
    <w:rsid w:val="000E099D"/>
  </w:style>
  <w:style w:type="character" w:customStyle="1" w:styleId="citation-56">
    <w:name w:val="citation-56"/>
    <w:basedOn w:val="DefaultParagraphFont"/>
    <w:rsid w:val="000E099D"/>
  </w:style>
  <w:style w:type="character" w:customStyle="1" w:styleId="citation-54">
    <w:name w:val="citation-54"/>
    <w:basedOn w:val="DefaultParagraphFont"/>
    <w:rsid w:val="000E099D"/>
  </w:style>
  <w:style w:type="character" w:customStyle="1" w:styleId="citation-51">
    <w:name w:val="citation-51"/>
    <w:basedOn w:val="DefaultParagraphFont"/>
    <w:rsid w:val="000E099D"/>
  </w:style>
  <w:style w:type="character" w:customStyle="1" w:styleId="citation-50">
    <w:name w:val="citation-50"/>
    <w:basedOn w:val="DefaultParagraphFont"/>
    <w:rsid w:val="000E099D"/>
  </w:style>
  <w:style w:type="character" w:customStyle="1" w:styleId="citation-49">
    <w:name w:val="citation-49"/>
    <w:basedOn w:val="DefaultParagraphFont"/>
    <w:rsid w:val="000E099D"/>
  </w:style>
  <w:style w:type="character" w:customStyle="1" w:styleId="citation-48">
    <w:name w:val="citation-48"/>
    <w:basedOn w:val="DefaultParagraphFont"/>
    <w:rsid w:val="000E099D"/>
  </w:style>
  <w:style w:type="character" w:customStyle="1" w:styleId="citation-47">
    <w:name w:val="citation-47"/>
    <w:basedOn w:val="DefaultParagraphFont"/>
    <w:rsid w:val="000E099D"/>
  </w:style>
  <w:style w:type="character" w:customStyle="1" w:styleId="citation-46">
    <w:name w:val="citation-46"/>
    <w:basedOn w:val="DefaultParagraphFont"/>
    <w:rsid w:val="000E099D"/>
  </w:style>
  <w:style w:type="character" w:customStyle="1" w:styleId="citation-45">
    <w:name w:val="citation-45"/>
    <w:basedOn w:val="DefaultParagraphFont"/>
    <w:rsid w:val="000E099D"/>
  </w:style>
  <w:style w:type="character" w:customStyle="1" w:styleId="citation-116">
    <w:name w:val="citation-116"/>
    <w:basedOn w:val="DefaultParagraphFont"/>
    <w:rsid w:val="00514960"/>
  </w:style>
  <w:style w:type="character" w:customStyle="1" w:styleId="citation-115">
    <w:name w:val="citation-115"/>
    <w:basedOn w:val="DefaultParagraphFont"/>
    <w:rsid w:val="00514960"/>
  </w:style>
  <w:style w:type="character" w:customStyle="1" w:styleId="citation-114">
    <w:name w:val="citation-114"/>
    <w:basedOn w:val="DefaultParagraphFont"/>
    <w:rsid w:val="00514960"/>
  </w:style>
  <w:style w:type="character" w:customStyle="1" w:styleId="citation-113">
    <w:name w:val="citation-113"/>
    <w:basedOn w:val="DefaultParagraphFont"/>
    <w:rsid w:val="00514960"/>
  </w:style>
  <w:style w:type="character" w:customStyle="1" w:styleId="citation-112">
    <w:name w:val="citation-112"/>
    <w:basedOn w:val="DefaultParagraphFont"/>
    <w:rsid w:val="00514960"/>
  </w:style>
  <w:style w:type="character" w:customStyle="1" w:styleId="citation-111">
    <w:name w:val="citation-111"/>
    <w:basedOn w:val="DefaultParagraphFont"/>
    <w:rsid w:val="00514960"/>
  </w:style>
  <w:style w:type="character" w:customStyle="1" w:styleId="citation-110">
    <w:name w:val="citation-110"/>
    <w:basedOn w:val="DefaultParagraphFont"/>
    <w:rsid w:val="00514960"/>
  </w:style>
  <w:style w:type="character" w:customStyle="1" w:styleId="citation-109">
    <w:name w:val="citation-109"/>
    <w:basedOn w:val="DefaultParagraphFont"/>
    <w:rsid w:val="00514960"/>
  </w:style>
  <w:style w:type="character" w:customStyle="1" w:styleId="citation-108">
    <w:name w:val="citation-108"/>
    <w:basedOn w:val="DefaultParagraphFont"/>
    <w:rsid w:val="00514960"/>
  </w:style>
  <w:style w:type="character" w:customStyle="1" w:styleId="citation-107">
    <w:name w:val="citation-107"/>
    <w:basedOn w:val="DefaultParagraphFont"/>
    <w:rsid w:val="00514960"/>
  </w:style>
  <w:style w:type="character" w:customStyle="1" w:styleId="citation-106">
    <w:name w:val="citation-106"/>
    <w:basedOn w:val="DefaultParagraphFont"/>
    <w:rsid w:val="00514960"/>
  </w:style>
  <w:style w:type="character" w:customStyle="1" w:styleId="citation-105">
    <w:name w:val="citation-105"/>
    <w:basedOn w:val="DefaultParagraphFont"/>
    <w:rsid w:val="00514960"/>
  </w:style>
  <w:style w:type="character" w:customStyle="1" w:styleId="citation-104">
    <w:name w:val="citation-104"/>
    <w:basedOn w:val="DefaultParagraphFont"/>
    <w:rsid w:val="00514960"/>
  </w:style>
  <w:style w:type="character" w:customStyle="1" w:styleId="citation-103">
    <w:name w:val="citation-103"/>
    <w:basedOn w:val="DefaultParagraphFont"/>
    <w:rsid w:val="00514960"/>
  </w:style>
  <w:style w:type="character" w:customStyle="1" w:styleId="citation-102">
    <w:name w:val="citation-102"/>
    <w:basedOn w:val="DefaultParagraphFont"/>
    <w:rsid w:val="00514960"/>
  </w:style>
  <w:style w:type="character" w:customStyle="1" w:styleId="citation-203">
    <w:name w:val="citation-203"/>
    <w:basedOn w:val="DefaultParagraphFont"/>
    <w:rsid w:val="00F03B76"/>
  </w:style>
  <w:style w:type="character" w:customStyle="1" w:styleId="citation-202">
    <w:name w:val="citation-202"/>
    <w:basedOn w:val="DefaultParagraphFont"/>
    <w:rsid w:val="00F03B76"/>
  </w:style>
  <w:style w:type="character" w:customStyle="1" w:styleId="citation-201">
    <w:name w:val="citation-201"/>
    <w:basedOn w:val="DefaultParagraphFont"/>
    <w:rsid w:val="00F03B76"/>
  </w:style>
  <w:style w:type="character" w:customStyle="1" w:styleId="citation-200">
    <w:name w:val="citation-200"/>
    <w:basedOn w:val="DefaultParagraphFont"/>
    <w:rsid w:val="00F03B76"/>
  </w:style>
  <w:style w:type="character" w:customStyle="1" w:styleId="citation-199">
    <w:name w:val="citation-199"/>
    <w:basedOn w:val="DefaultParagraphFont"/>
    <w:rsid w:val="00F03B76"/>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b+RPd9rcqz5kPImGsd70cHy9CA==">CgMxLjAyDWguZ3VxN3VxMmtoeHAyDmguY2tlYjkwbjhjdHk1OAByITF0aXRkV1FoSUxFUkgwRVM3WTRoeVcxalRqSFhuSkVRQQ==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3124</Words>
  <Characters>17808</Characters>
  <Application>Microsoft Office Word</Application>
  <DocSecurity>0</DocSecurity>
  <Lines>148</Lines>
  <Paragraphs>41</Paragraphs>
  <ScaleCrop>false</ScaleCrop>
  <Company/>
  <LinksUpToDate>false</LinksUpToDate>
  <CharactersWithSpaces>20891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bs01</dc:creator>
  <cp:lastModifiedBy>bs01</cp:lastModifiedBy>
  <cp:revision>2</cp:revision>
  <dcterms:created xsi:type="dcterms:W3CDTF">2026-01-12T06:00:00Z</dcterms:created>
  <dcterms:modified xsi:type="dcterms:W3CDTF">2026-01-19T05:11:00Z</dcterms:modified>
</cp:coreProperties>
</file>