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801.5200042724609" w:firstLine="0"/>
        <w:rPr>
          <w:rFonts w:ascii="Times New Roman" w:cs="Times New Roman" w:eastAsia="Times New Roman" w:hAnsi="Times New Roman"/>
          <w:b w:val="1"/>
          <w:sz w:val="29.981233596801758"/>
          <w:szCs w:val="29.98123359680175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9.981233596801758"/>
          <w:szCs w:val="29.981233596801758"/>
          <w:rtl w:val="0"/>
        </w:rPr>
        <w:t xml:space="preserve"> Anna Adarsh College for Women </w:t>
      </w:r>
    </w:p>
    <w:p w:rsidR="00000000" w:rsidDel="00000000" w:rsidP="00000000" w:rsidRDefault="00000000" w:rsidRPr="00000000" w14:paraId="00000002">
      <w:pPr>
        <w:widowControl w:val="0"/>
        <w:spacing w:before="15.96435546875" w:line="240" w:lineRule="auto"/>
        <w:ind w:left="801.5200042724609" w:firstLine="0"/>
        <w:rPr>
          <w:rFonts w:ascii="Cambria" w:cs="Cambria" w:eastAsia="Cambria" w:hAnsi="Cambria"/>
          <w:sz w:val="24.116777420043945"/>
          <w:szCs w:val="24.11677742004394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9.981233596801758"/>
          <w:szCs w:val="29.98123359680175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.116777420043945"/>
          <w:szCs w:val="24.116777420043945"/>
          <w:rtl w:val="0"/>
        </w:rPr>
        <w:t xml:space="preserve">(Autonomous)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413.5199737548828" w:firstLine="0"/>
        <w:rPr>
          <w:rFonts w:ascii="Times New Roman" w:cs="Times New Roman" w:eastAsia="Times New Roman" w:hAnsi="Times New Roman"/>
          <w:sz w:val="23.524269104003906"/>
          <w:szCs w:val="23.524269104003906"/>
        </w:rPr>
      </w:pPr>
      <w:r w:rsidDel="00000000" w:rsidR="00000000" w:rsidRPr="00000000">
        <w:rPr>
          <w:rFonts w:ascii="Cambria" w:cs="Cambria" w:eastAsia="Cambria" w:hAnsi="Cambria"/>
          <w:sz w:val="24.116777420043945"/>
          <w:szCs w:val="24.11677742004394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3.524269104003906"/>
          <w:szCs w:val="23.524269104003906"/>
          <w:rtl w:val="0"/>
        </w:rPr>
        <w:t xml:space="preserve">M.A. Degree Programme in English  </w:t>
      </w:r>
    </w:p>
    <w:p w:rsidR="00000000" w:rsidDel="00000000" w:rsidP="00000000" w:rsidRDefault="00000000" w:rsidRPr="00000000" w14:paraId="00000004">
      <w:pPr>
        <w:widowControl w:val="0"/>
        <w:spacing w:before="4.271240234375" w:line="240" w:lineRule="auto"/>
        <w:ind w:left="1413.5199737548828" w:firstLine="0"/>
        <w:rPr>
          <w:rFonts w:ascii="Times New Roman" w:cs="Times New Roman" w:eastAsia="Times New Roman" w:hAnsi="Times New Roman"/>
          <w:sz w:val="23.524269104003906"/>
          <w:szCs w:val="23.524269104003906"/>
        </w:rPr>
      </w:pPr>
      <w:r w:rsidDel="00000000" w:rsidR="00000000" w:rsidRPr="00000000">
        <w:rPr>
          <w:rFonts w:ascii="Times New Roman" w:cs="Times New Roman" w:eastAsia="Times New Roman" w:hAnsi="Times New Roman"/>
          <w:sz w:val="23.524269104003906"/>
          <w:szCs w:val="23.524269104003906"/>
          <w:rtl w:val="0"/>
        </w:rPr>
        <w:t xml:space="preserve"> Academic Year 2025-26 </w:t>
      </w:r>
    </w:p>
    <w:tbl>
      <w:tblPr>
        <w:tblStyle w:val="Table1"/>
        <w:tblW w:w="9525.12001037597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1.919937133789"/>
        <w:gridCol w:w="2378.9999389648438"/>
        <w:gridCol w:w="847.6004028320312"/>
        <w:gridCol w:w="1523.9996337890625"/>
        <w:gridCol w:w="3502.60009765625"/>
        <w:tblGridChange w:id="0">
          <w:tblGrid>
            <w:gridCol w:w="1271.919937133789"/>
            <w:gridCol w:w="2378.9999389648438"/>
            <w:gridCol w:w="847.6004028320312"/>
            <w:gridCol w:w="1523.9996337890625"/>
            <w:gridCol w:w="3502.60009765625"/>
          </w:tblGrid>
        </w:tblGridChange>
      </w:tblGrid>
      <w:tr>
        <w:trPr>
          <w:cantSplit w:val="0"/>
          <w:trHeight w:val="515.99975585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16.40007019042969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Programme : M.A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15.440063476562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Batch: 2025 - 2027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20.47973632812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Semester : I</w:t>
            </w:r>
          </w:p>
        </w:tc>
      </w:tr>
      <w:tr>
        <w:trPr>
          <w:cantSplit w:val="0"/>
          <w:trHeight w:val="624.00024414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Course Title : CORE I POETRY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Course Code : 24PMAEN101</w:t>
            </w:r>
          </w:p>
        </w:tc>
      </w:tr>
      <w:tr>
        <w:trPr>
          <w:cantSplit w:val="0"/>
          <w:trHeight w:val="516.000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13.51997375488281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Duration : 3 Hrs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15.200195312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Maximum Marks : 75</w:t>
            </w:r>
          </w:p>
        </w:tc>
      </w:tr>
      <w:tr>
        <w:trPr>
          <w:cantSplit w:val="0"/>
          <w:trHeight w:val="813.5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29.90779876708984" w:lineRule="auto"/>
              <w:ind w:left="113.75999450683594" w:right="180.39993286132812" w:firstLine="6.0000610351562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 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19.760131835937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15.67993164062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 Level 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15.11962890625" w:line="240" w:lineRule="auto"/>
              <w:ind w:left="1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(K1 – K6)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17.6000976562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 CO ) 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15.11962890625" w:line="240" w:lineRule="auto"/>
              <w:ind w:left="117.6000976562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(CO1-CO5)</w:t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1627.599868774414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– A (10 X 1 = 10 Marks) Answer Any 10 Questions </w:t>
      </w:r>
    </w:p>
    <w:tbl>
      <w:tblPr>
        <w:tblStyle w:val="Table2"/>
        <w:tblW w:w="9525.12001037597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.59996032714844"/>
        <w:gridCol w:w="6342.320098876953"/>
        <w:gridCol w:w="621.5997314453125"/>
        <w:gridCol w:w="938.4002685546875"/>
        <w:gridCol w:w="1121.199951171875"/>
        <w:tblGridChange w:id="0">
          <w:tblGrid>
            <w:gridCol w:w="501.59996032714844"/>
            <w:gridCol w:w="6342.320098876953"/>
            <w:gridCol w:w="621.5997314453125"/>
            <w:gridCol w:w="938.4002685546875"/>
            <w:gridCol w:w="1121.199951171875"/>
          </w:tblGrid>
        </w:tblGridChange>
      </w:tblGrid>
      <w:tr>
        <w:trPr>
          <w:cantSplit w:val="0"/>
          <w:trHeight w:val="516.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38.4799957275390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the character in The Canterbury Tales known for fake relics.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19.039916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CO1</w:t>
            </w:r>
          </w:p>
        </w:tc>
      </w:tr>
      <w:tr>
        <w:trPr>
          <w:cantSplit w:val="0"/>
          <w:trHeight w:val="5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15.439987182617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is the Pardoner’s moral lesson in his tale?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19.039916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CO1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20.2399444580078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Identify the poetic form used in The General Prologue.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19.039916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CO1</w:t>
            </w:r>
          </w:p>
        </w:tc>
      </w:tr>
      <w:tr>
        <w:trPr>
          <w:cantSplit w:val="0"/>
          <w:trHeight w:val="51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14.2400360107421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twin motifs are repeated in Prothalamion?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19.039916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CO2</w:t>
            </w:r>
          </w:p>
        </w:tc>
      </w:tr>
      <w:tr>
        <w:trPr>
          <w:cantSplit w:val="0"/>
          <w:trHeight w:val="51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21.9199371337890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does Spenser pray for at the end of Prothalamion?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K1/K2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19.039916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CO2</w:t>
            </w:r>
          </w:p>
        </w:tc>
      </w:tr>
      <w:tr>
        <w:trPr>
          <w:cantSplit w:val="0"/>
          <w:trHeight w:val="51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120.7199859619140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metaphor does Donne use for the lovers in “The Canonization”?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19.039916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CO2</w:t>
            </w:r>
          </w:p>
        </w:tc>
      </w:tr>
      <w:tr>
        <w:trPr>
          <w:cantSplit w:val="0"/>
          <w:trHeight w:val="51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19.280014038085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does the speaker suggest will happen if they “delay” in “To His Coy Mistress”?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119.039916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CO3</w:t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25.0400543212890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political event does Absalom and Achitophel respond 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K1/K2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119.039916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CO3</w:t>
            </w:r>
          </w:p>
        </w:tc>
      </w:tr>
      <w:tr>
        <w:trPr>
          <w:cantSplit w:val="0"/>
          <w:trHeight w:val="51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120.000076293945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does the speaker revisit in “Tintern Abbey” after five years?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119.039916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CO4</w:t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Define a lyrical ballad.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119.039916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CO4</w:t>
            </w:r>
          </w:p>
        </w:tc>
      </w:tr>
      <w:tr>
        <w:trPr>
          <w:cantSplit w:val="0"/>
          <w:trHeight w:val="51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does the hawk in Hawk Roosting assert dominance?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119.039916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CO5</w:t>
            </w:r>
          </w:p>
        </w:tc>
      </w:tr>
      <w:tr>
        <w:trPr>
          <w:cantSplit w:val="0"/>
          <w:trHeight w:val="519.00085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is the poet/speaker doing in Larkin’s The Whitsun Weddings?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19.0399169921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CO5</w:t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1620.3998565673828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– B (5 X 5 = 25 Marks) Answer any Five Questions</w:t>
      </w:r>
    </w:p>
    <w:tbl>
      <w:tblPr>
        <w:tblStyle w:val="Table3"/>
        <w:tblW w:w="9892.31971740722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.59996032714844"/>
        <w:gridCol w:w="6601.519927978516"/>
        <w:gridCol w:w="590.400390625"/>
        <w:gridCol w:w="940.799560546875"/>
        <w:gridCol w:w="1257.9998779296875"/>
        <w:tblGridChange w:id="0">
          <w:tblGrid>
            <w:gridCol w:w="501.59996032714844"/>
            <w:gridCol w:w="6601.519927978516"/>
            <w:gridCol w:w="590.400390625"/>
            <w:gridCol w:w="940.799560546875"/>
            <w:gridCol w:w="1257.9998779296875"/>
          </w:tblGrid>
        </w:tblGridChange>
      </w:tblGrid>
      <w:tr>
        <w:trPr>
          <w:cantSplit w:val="0"/>
          <w:trHeight w:val="5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Sketch the social background of Chaucer’s England as reflected in The General Prologue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The Canterbury Tales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119.5196533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114.47998046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119.040527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CO1</w:t>
            </w:r>
          </w:p>
        </w:tc>
      </w:tr>
      <w:tr>
        <w:trPr>
          <w:cantSplit w:val="0"/>
          <w:trHeight w:val="5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does Spenser use mythology in “Prothalamion” to elevate the brides?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119.5196533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14.47998046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119.040527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CO2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 Satan’s role in tempting Eve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Paradise Lost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Book IX.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119.5196533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114.47998046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119.040527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CO3</w:t>
            </w:r>
          </w:p>
        </w:tc>
      </w:tr>
      <w:tr>
        <w:trPr>
          <w:cantSplit w:val="0"/>
          <w:trHeight w:val="54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Analyze Gray’s reflection on youth and the passage of time in Ode to a Distant Prospect of Eton College."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119.5196533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114.47998046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119.040527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CO3</w:t>
            </w:r>
          </w:p>
        </w:tc>
      </w:tr>
      <w:tr>
        <w:trPr>
          <w:cantSplit w:val="0"/>
          <w:trHeight w:val="516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Explore how Shelley presents nature as both a destructive and creative force in “Ode to the West Wind.”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119.5196533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114.47998046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119.040527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CO4</w:t>
            </w:r>
          </w:p>
        </w:tc>
      </w:tr>
      <w:tr>
        <w:trPr>
          <w:cantSplit w:val="0"/>
          <w:trHeight w:val="539.9998474121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Comment on the role of imagination and supernatural in “The Rime of the Ancient Mariner.”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119.5196533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114.47998046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119.040527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CO4</w:t>
            </w:r>
          </w:p>
        </w:tc>
      </w:tr>
      <w:tr>
        <w:trPr>
          <w:cantSplit w:val="0"/>
          <w:trHeight w:val="633.60000610351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forms of cultural memory are preserved in Seamus Heaney’s “The Tollund Man”?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119.5196533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K3/K4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119.040527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CO5</w:t>
            </w:r>
          </w:p>
        </w:tc>
      </w:tr>
    </w:tbl>
    <w:p w:rsidR="00000000" w:rsidDel="00000000" w:rsidP="00000000" w:rsidRDefault="00000000" w:rsidRPr="00000000" w14:paraId="0000008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4597.889785766602" w:firstLine="0"/>
        <w:rPr>
          <w:rFonts w:ascii="Times New Roman" w:cs="Times New Roman" w:eastAsia="Times New Roman" w:hAnsi="Times New Roman"/>
          <w:sz w:val="22.079999923706055"/>
          <w:szCs w:val="22.079999923706055"/>
        </w:rPr>
      </w:pP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7 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left="801.5200042724609" w:firstLine="0"/>
        <w:rPr>
          <w:rFonts w:ascii="Times New Roman" w:cs="Times New Roman" w:eastAsia="Times New Roman" w:hAnsi="Times New Roman"/>
          <w:b w:val="1"/>
          <w:sz w:val="29.981233596801758"/>
          <w:szCs w:val="29.98123359680175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9.981233596801758"/>
          <w:szCs w:val="29.981233596801758"/>
          <w:rtl w:val="0"/>
        </w:rPr>
        <w:t xml:space="preserve"> Anna Adarsh College for Women </w:t>
      </w:r>
    </w:p>
    <w:p w:rsidR="00000000" w:rsidDel="00000000" w:rsidP="00000000" w:rsidRDefault="00000000" w:rsidRPr="00000000" w14:paraId="00000084">
      <w:pPr>
        <w:widowControl w:val="0"/>
        <w:spacing w:before="15.96435546875" w:line="240" w:lineRule="auto"/>
        <w:ind w:left="801.5200042724609" w:firstLine="0"/>
        <w:rPr>
          <w:rFonts w:ascii="Cambria" w:cs="Cambria" w:eastAsia="Cambria" w:hAnsi="Cambria"/>
          <w:sz w:val="24.116777420043945"/>
          <w:szCs w:val="24.11677742004394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9.981233596801758"/>
          <w:szCs w:val="29.98123359680175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.116777420043945"/>
          <w:szCs w:val="24.116777420043945"/>
          <w:rtl w:val="0"/>
        </w:rPr>
        <w:t xml:space="preserve">(Autonomous) 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ind w:left="1413.5199737548828" w:firstLine="0"/>
        <w:rPr>
          <w:rFonts w:ascii="Times New Roman" w:cs="Times New Roman" w:eastAsia="Times New Roman" w:hAnsi="Times New Roman"/>
          <w:sz w:val="23.524269104003906"/>
          <w:szCs w:val="23.524269104003906"/>
        </w:rPr>
      </w:pPr>
      <w:r w:rsidDel="00000000" w:rsidR="00000000" w:rsidRPr="00000000">
        <w:rPr>
          <w:rFonts w:ascii="Cambria" w:cs="Cambria" w:eastAsia="Cambria" w:hAnsi="Cambria"/>
          <w:sz w:val="24.116777420043945"/>
          <w:szCs w:val="24.116777420043945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3.524269104003906"/>
          <w:szCs w:val="23.524269104003906"/>
          <w:rtl w:val="0"/>
        </w:rPr>
        <w:t xml:space="preserve">M.A. Degree Programme in English  </w:t>
      </w:r>
    </w:p>
    <w:p w:rsidR="00000000" w:rsidDel="00000000" w:rsidP="00000000" w:rsidRDefault="00000000" w:rsidRPr="00000000" w14:paraId="00000086">
      <w:pPr>
        <w:widowControl w:val="0"/>
        <w:spacing w:before="4.271240234375" w:line="240" w:lineRule="auto"/>
        <w:ind w:left="1413.5199737548828" w:firstLine="0"/>
        <w:rPr>
          <w:rFonts w:ascii="Times New Roman" w:cs="Times New Roman" w:eastAsia="Times New Roman" w:hAnsi="Times New Roman"/>
          <w:sz w:val="23.524269104003906"/>
          <w:szCs w:val="23.524269104003906"/>
        </w:rPr>
      </w:pPr>
      <w:r w:rsidDel="00000000" w:rsidR="00000000" w:rsidRPr="00000000">
        <w:rPr>
          <w:rFonts w:ascii="Times New Roman" w:cs="Times New Roman" w:eastAsia="Times New Roman" w:hAnsi="Times New Roman"/>
          <w:sz w:val="23.524269104003906"/>
          <w:szCs w:val="23.524269104003906"/>
          <w:rtl w:val="0"/>
        </w:rPr>
        <w:t xml:space="preserve"> Academic Year 2025-26 </w:t>
      </w:r>
    </w:p>
    <w:p w:rsidR="00000000" w:rsidDel="00000000" w:rsidP="00000000" w:rsidRDefault="00000000" w:rsidRPr="00000000" w14:paraId="00000087">
      <w:pPr>
        <w:widowControl w:val="0"/>
        <w:spacing w:before="488.714599609375" w:line="240" w:lineRule="auto"/>
        <w:ind w:left="1521.999893188476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 – C (4 X 10 = 40 Marks) Answer any Four Questions</w:t>
      </w:r>
    </w:p>
    <w:tbl>
      <w:tblPr>
        <w:tblStyle w:val="Table4"/>
        <w:tblW w:w="9892.31971740722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.59996032714844"/>
        <w:gridCol w:w="6510.319976806641"/>
        <w:gridCol w:w="590.3997802734375"/>
        <w:gridCol w:w="940.8001708984375"/>
        <w:gridCol w:w="1349.1998291015625"/>
        <w:tblGridChange w:id="0">
          <w:tblGrid>
            <w:gridCol w:w="501.59996032714844"/>
            <w:gridCol w:w="6510.319976806641"/>
            <w:gridCol w:w="590.3997802734375"/>
            <w:gridCol w:w="940.8001708984375"/>
            <w:gridCol w:w="1349.1998291015625"/>
          </w:tblGrid>
        </w:tblGridChange>
      </w:tblGrid>
      <w:tr>
        <w:trPr>
          <w:cantSplit w:val="0"/>
          <w:trHeight w:val="72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do Chaucer’s character sketches show medieval realism? Discuss with reference to any two.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119.040527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CO1/CO3</w:t>
            </w:r>
          </w:p>
        </w:tc>
      </w:tr>
      <w:tr>
        <w:trPr>
          <w:cantSplit w:val="0"/>
          <w:trHeight w:val="51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Explore how Donne’s “The Canonization” intertwines spiritual and earthly love.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119.040527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CO1/CO5</w:t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Evaluate Milton’s use of epic conventions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Paradise Lost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Book IX.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119.040527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CO2/CO4</w:t>
            </w:r>
          </w:p>
        </w:tc>
      </w:tr>
      <w:tr>
        <w:trPr>
          <w:cantSplit w:val="0"/>
          <w:trHeight w:val="55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Examine the role of disillusionment and uncertainty in “Dover Beach.”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114.4805908203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119.040527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CO2/CO5</w:t>
            </w:r>
          </w:p>
        </w:tc>
      </w:tr>
      <w:tr>
        <w:trPr>
          <w:cantSplit w:val="0"/>
          <w:trHeight w:val="539.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“The Love Song of J. Alfred Prufrock,” how does Eliot use urban imagery and modernist technique?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K5/K6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119.040527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CO3/C04</w:t>
            </w:r>
          </w:p>
        </w:tc>
      </w:tr>
      <w:tr>
        <w:trPr>
          <w:cantSplit w:val="0"/>
          <w:trHeight w:val="63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Discuss how Rupert Brooke blends national pride with personal sacrifice in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Soldier.”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138.4796142578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K5/K6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119.04052734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CO3/CO5</w:t>
            </w:r>
          </w:p>
        </w:tc>
      </w:tr>
    </w:tbl>
    <w:p w:rsidR="00000000" w:rsidDel="00000000" w:rsidP="00000000" w:rsidRDefault="00000000" w:rsidRPr="00000000" w14:paraId="000000A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525.12001037597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.120010375977"/>
        <w:tblGridChange w:id="0">
          <w:tblGrid>
            <w:gridCol w:w="9525.120010375977"/>
          </w:tblGrid>
        </w:tblGridChange>
      </w:tblGrid>
      <w:tr>
        <w:trPr>
          <w:cantSplit w:val="0"/>
          <w:trHeight w:val="52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Knowledge Level as per Bloom Taxonomy</w:t>
            </w:r>
          </w:p>
        </w:tc>
      </w:tr>
      <w:tr>
        <w:trPr>
          <w:cantSplit w:val="0"/>
          <w:trHeight w:val="6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K1 – Remember; K2 – Understand; K3- Apply; K4 –Analyse; K5-Evaluate; K6-Create</w:t>
            </w:r>
          </w:p>
        </w:tc>
      </w:tr>
      <w:tr>
        <w:trPr>
          <w:cantSplit w:val="0"/>
          <w:trHeight w:val="590.79895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CO1 – CO5 indicates the course outcome in Unit I to Unit V</w:t>
            </w:r>
          </w:p>
        </w:tc>
      </w:tr>
    </w:tbl>
    <w:p w:rsidR="00000000" w:rsidDel="00000000" w:rsidP="00000000" w:rsidRDefault="00000000" w:rsidRPr="00000000" w14:paraId="000000A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